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7777777" w:rsidR="00B0166E" w:rsidRDefault="00B0166E" w:rsidP="478C4939">
      <w:pPr>
        <w:jc w:val="center"/>
      </w:pPr>
    </w:p>
    <w:p w14:paraId="6E05D2C9" w14:textId="58F8A5BC" w:rsidR="478C4939" w:rsidRDefault="478C4939" w:rsidP="478C4939">
      <w:pPr>
        <w:jc w:val="center"/>
      </w:pPr>
    </w:p>
    <w:p w14:paraId="12013266" w14:textId="7F9B202A" w:rsidR="478C4939" w:rsidRDefault="478C4939" w:rsidP="478C4939">
      <w:pPr>
        <w:jc w:val="center"/>
      </w:pPr>
    </w:p>
    <w:p w14:paraId="2571D7A5" w14:textId="2E49CE38" w:rsidR="478C4939" w:rsidRDefault="478C4939" w:rsidP="478C4939">
      <w:pPr>
        <w:jc w:val="center"/>
      </w:pPr>
    </w:p>
    <w:p w14:paraId="4FA079B8" w14:textId="6F1E2428" w:rsidR="506F732F" w:rsidRDefault="506F732F" w:rsidP="478C4939">
      <w:pPr>
        <w:jc w:val="center"/>
      </w:pPr>
      <w:r w:rsidRPr="478C4939">
        <w:rPr>
          <w:b/>
          <w:bCs/>
        </w:rPr>
        <w:t>Increasing Cross-Cultural Communication</w:t>
      </w:r>
    </w:p>
    <w:p w14:paraId="4F634F0F" w14:textId="628C5132" w:rsidR="478C4939" w:rsidRDefault="478C4939" w:rsidP="478C4939">
      <w:pPr>
        <w:jc w:val="center"/>
        <w:rPr>
          <w:b/>
          <w:bCs/>
        </w:rPr>
      </w:pPr>
    </w:p>
    <w:p w14:paraId="5A7A8FA5" w14:textId="44785A0E" w:rsidR="478C4939" w:rsidRDefault="478C4939" w:rsidP="478C4939">
      <w:pPr>
        <w:jc w:val="center"/>
        <w:rPr>
          <w:b/>
          <w:bCs/>
        </w:rPr>
      </w:pPr>
    </w:p>
    <w:p w14:paraId="634A2C5D" w14:textId="610334A4" w:rsidR="506F732F" w:rsidRDefault="506F732F" w:rsidP="478C4939">
      <w:pPr>
        <w:jc w:val="center"/>
      </w:pPr>
      <w:r>
        <w:t>Maria Feliciano</w:t>
      </w:r>
    </w:p>
    <w:p w14:paraId="711A0D15" w14:textId="4C56A78C" w:rsidR="506F732F" w:rsidRDefault="506F732F" w:rsidP="478C4939">
      <w:pPr>
        <w:jc w:val="center"/>
      </w:pPr>
      <w:r>
        <w:t>American College of Education</w:t>
      </w:r>
    </w:p>
    <w:p w14:paraId="61642512" w14:textId="2279A177" w:rsidR="506F732F" w:rsidRDefault="506F732F" w:rsidP="478C4939">
      <w:pPr>
        <w:jc w:val="center"/>
      </w:pPr>
      <w:r>
        <w:t>BE6123</w:t>
      </w:r>
    </w:p>
    <w:p w14:paraId="1B44ECA2" w14:textId="3AE052C9" w:rsidR="506F732F" w:rsidRDefault="506F732F" w:rsidP="478C4939">
      <w:pPr>
        <w:jc w:val="center"/>
      </w:pPr>
      <w:r>
        <w:t>Dr. Stalnaker</w:t>
      </w:r>
    </w:p>
    <w:p w14:paraId="7733E27F" w14:textId="4956FD3E" w:rsidR="506F732F" w:rsidRDefault="506F732F" w:rsidP="478C4939">
      <w:pPr>
        <w:jc w:val="center"/>
      </w:pPr>
      <w:r>
        <w:t>September 5, 2026</w:t>
      </w:r>
    </w:p>
    <w:p w14:paraId="75E176C2" w14:textId="6A65FF44" w:rsidR="478C4939" w:rsidRDefault="478C4939" w:rsidP="478C4939">
      <w:pPr>
        <w:jc w:val="center"/>
      </w:pPr>
    </w:p>
    <w:p w14:paraId="26C32317" w14:textId="0420A9B2" w:rsidR="478C4939" w:rsidRDefault="478C4939" w:rsidP="478C4939">
      <w:pPr>
        <w:jc w:val="center"/>
      </w:pPr>
    </w:p>
    <w:p w14:paraId="4F6B88F1" w14:textId="234C8110" w:rsidR="478C4939" w:rsidRDefault="478C4939" w:rsidP="478C4939">
      <w:pPr>
        <w:jc w:val="center"/>
      </w:pPr>
    </w:p>
    <w:p w14:paraId="2A0A3831" w14:textId="2863316E" w:rsidR="478C4939" w:rsidRDefault="478C4939" w:rsidP="478C4939">
      <w:pPr>
        <w:jc w:val="center"/>
      </w:pPr>
    </w:p>
    <w:p w14:paraId="2B1C99B7" w14:textId="3E90CD28" w:rsidR="478C4939" w:rsidRDefault="478C4939" w:rsidP="478C4939">
      <w:pPr>
        <w:jc w:val="center"/>
      </w:pPr>
    </w:p>
    <w:p w14:paraId="168458FF" w14:textId="1E42AC3D" w:rsidR="478C4939" w:rsidRDefault="478C4939" w:rsidP="478C4939">
      <w:pPr>
        <w:jc w:val="center"/>
      </w:pPr>
    </w:p>
    <w:p w14:paraId="76C85247" w14:textId="7B61E498" w:rsidR="478C4939" w:rsidRDefault="478C4939" w:rsidP="478C4939">
      <w:pPr>
        <w:jc w:val="center"/>
      </w:pPr>
    </w:p>
    <w:p w14:paraId="16C5AED4" w14:textId="7A6F9232" w:rsidR="478C4939" w:rsidRDefault="478C4939" w:rsidP="478C4939">
      <w:pPr>
        <w:jc w:val="center"/>
      </w:pPr>
    </w:p>
    <w:p w14:paraId="49B70530" w14:textId="20F3BB61" w:rsidR="478C4939" w:rsidRDefault="478C4939" w:rsidP="478C4939">
      <w:pPr>
        <w:jc w:val="center"/>
      </w:pPr>
    </w:p>
    <w:p w14:paraId="160B2EB2" w14:textId="165EEE48" w:rsidR="478C4939" w:rsidRDefault="478C4939" w:rsidP="478C4939">
      <w:pPr>
        <w:jc w:val="center"/>
      </w:pPr>
    </w:p>
    <w:p w14:paraId="69A03436" w14:textId="5487DABA" w:rsidR="478C4939" w:rsidRDefault="478C4939" w:rsidP="478C4939">
      <w:pPr>
        <w:jc w:val="center"/>
      </w:pPr>
    </w:p>
    <w:p w14:paraId="2C34A635" w14:textId="1142807B" w:rsidR="478C4939" w:rsidRDefault="478C4939" w:rsidP="478C4939">
      <w:pPr>
        <w:jc w:val="center"/>
      </w:pPr>
    </w:p>
    <w:p w14:paraId="3927D8F9" w14:textId="3D01A621" w:rsidR="478C4939" w:rsidRDefault="478C4939" w:rsidP="478C4939">
      <w:pPr>
        <w:jc w:val="center"/>
      </w:pPr>
    </w:p>
    <w:p w14:paraId="2E9F8863" w14:textId="50446EC3" w:rsidR="478C4939" w:rsidRDefault="478C4939" w:rsidP="478C4939">
      <w:pPr>
        <w:jc w:val="center"/>
      </w:pPr>
    </w:p>
    <w:p w14:paraId="357EDC55" w14:textId="39B2D7CF" w:rsidR="478C4939" w:rsidRDefault="478C4939" w:rsidP="478C4939">
      <w:pPr>
        <w:jc w:val="center"/>
      </w:pPr>
    </w:p>
    <w:p w14:paraId="3C3BDA5F" w14:textId="36C9F3CF" w:rsidR="26B286A1" w:rsidRDefault="26B286A1" w:rsidP="478C4939">
      <w:pPr>
        <w:jc w:val="center"/>
      </w:pPr>
      <w:r w:rsidRPr="478C4939">
        <w:rPr>
          <w:b/>
          <w:bCs/>
        </w:rPr>
        <w:lastRenderedPageBreak/>
        <w:t>Increasing Cross-Cultural Communication</w:t>
      </w:r>
    </w:p>
    <w:p w14:paraId="103F17FB" w14:textId="1DC2353C" w:rsidR="51C47A4D" w:rsidRDefault="51C47A4D" w:rsidP="478C4939">
      <w:pPr>
        <w:jc w:val="center"/>
      </w:pPr>
      <w:r w:rsidRPr="478C4939">
        <w:rPr>
          <w:b/>
          <w:bCs/>
        </w:rPr>
        <w:t xml:space="preserve">Guardian of an English Learner </w:t>
      </w:r>
      <w:r w:rsidR="7F333DE7" w:rsidRPr="478C4939">
        <w:rPr>
          <w:b/>
          <w:bCs/>
        </w:rPr>
        <w:t>Feedback</w:t>
      </w:r>
    </w:p>
    <w:p w14:paraId="55EE4196" w14:textId="067CC0A3" w:rsidR="51E8EBFB" w:rsidRDefault="51E8EBFB" w:rsidP="478C4939">
      <w:pPr>
        <w:spacing w:before="120" w:after="120" w:line="480" w:lineRule="auto"/>
        <w:ind w:firstLine="720"/>
      </w:pPr>
      <w:r w:rsidRPr="478C4939">
        <w:rPr>
          <w:rFonts w:ascii="Times New Roman" w:eastAsia="Times New Roman" w:hAnsi="Times New Roman" w:cs="Times New Roman"/>
        </w:rPr>
        <w:t xml:space="preserve">I am grateful for the translation services provided by our school division, as I am a Spanish speaker. Over the years, attending IEP meetings, parent-teacher conferences, and school events has presented communication challenges. The availability of Propio interpreting services during IEP and parent-teacher conferences has significantly improved my experience. As a result, I feel valued and accepted. At school events, ESL bilingual teachers and </w:t>
      </w:r>
      <w:proofErr w:type="gramStart"/>
      <w:r w:rsidR="00504452">
        <w:rPr>
          <w:rFonts w:ascii="Times New Roman" w:eastAsia="Times New Roman" w:hAnsi="Times New Roman" w:cs="Times New Roman"/>
        </w:rPr>
        <w:t xml:space="preserve">the </w:t>
      </w:r>
      <w:r w:rsidR="00504452" w:rsidRPr="478C4939">
        <w:rPr>
          <w:rFonts w:ascii="Times New Roman" w:eastAsia="Times New Roman" w:hAnsi="Times New Roman" w:cs="Times New Roman"/>
        </w:rPr>
        <w:t>family</w:t>
      </w:r>
      <w:proofErr w:type="gramEnd"/>
      <w:r w:rsidRPr="478C4939">
        <w:rPr>
          <w:rFonts w:ascii="Times New Roman" w:eastAsia="Times New Roman" w:hAnsi="Times New Roman" w:cs="Times New Roman"/>
        </w:rPr>
        <w:t xml:space="preserve"> liaison are consistently available to greet and assist parents who face language barriers. Additionally, the Parent Square communication tool has been invaluable for facilitating communication between my family and the school.</w:t>
      </w:r>
    </w:p>
    <w:p w14:paraId="2FFB5A58" w14:textId="6E66A96A" w:rsidR="69DA2FFC" w:rsidRDefault="69DA2FFC" w:rsidP="478C4939">
      <w:pPr>
        <w:jc w:val="center"/>
        <w:rPr>
          <w:b/>
          <w:bCs/>
        </w:rPr>
      </w:pPr>
      <w:r w:rsidRPr="478C4939">
        <w:rPr>
          <w:b/>
          <w:bCs/>
          <w:color w:val="000004"/>
        </w:rPr>
        <w:t>Communication Ideas to Build Bridges for Positive and Meaningful Relationships</w:t>
      </w:r>
    </w:p>
    <w:p w14:paraId="1B678190" w14:textId="01FF8807" w:rsidR="6C0EF7CA" w:rsidRDefault="6C0EF7CA" w:rsidP="478C4939">
      <w:pPr>
        <w:spacing w:line="480" w:lineRule="auto"/>
        <w:ind w:firstLine="720"/>
      </w:pPr>
      <w:r w:rsidRPr="478C4939">
        <w:rPr>
          <w:rFonts w:ascii="Times New Roman" w:eastAsia="Times New Roman" w:hAnsi="Times New Roman" w:cs="Times New Roman"/>
        </w:rPr>
        <w:t xml:space="preserve">To build stronger engagement, families, schools, and communities need to work together through strong partnerships. This starts with closely examining any barriers or biases that might prevent everyone from taking part. Then, school and community activities help school staff, immigrant families, and other community members work together and share resources, knowledge, and culture. These efforts do more than just share </w:t>
      </w:r>
      <w:r w:rsidR="5D096104" w:rsidRPr="478C4939">
        <w:rPr>
          <w:rFonts w:ascii="Times New Roman" w:eastAsia="Times New Roman" w:hAnsi="Times New Roman" w:cs="Times New Roman"/>
        </w:rPr>
        <w:t xml:space="preserve">resources; </w:t>
      </w:r>
      <w:r w:rsidRPr="478C4939">
        <w:rPr>
          <w:rFonts w:ascii="Times New Roman" w:eastAsia="Times New Roman" w:hAnsi="Times New Roman" w:cs="Times New Roman"/>
        </w:rPr>
        <w:t>they help build trust, understanding, and empathy by encouraging personal connections</w:t>
      </w:r>
      <w:r w:rsidR="2E091EEA" w:rsidRPr="478C4939">
        <w:rPr>
          <w:rFonts w:ascii="Times New Roman" w:eastAsia="Times New Roman" w:hAnsi="Times New Roman" w:cs="Times New Roman"/>
        </w:rPr>
        <w:t>.</w:t>
      </w:r>
    </w:p>
    <w:p w14:paraId="58E27D04" w14:textId="6B5340C4" w:rsidR="2E091EEA" w:rsidRDefault="2E091EEA" w:rsidP="478C4939">
      <w:pPr>
        <w:spacing w:before="120" w:after="120" w:line="480" w:lineRule="auto"/>
        <w:ind w:firstLine="720"/>
      </w:pPr>
      <w:r w:rsidRPr="478C4939">
        <w:rPr>
          <w:rFonts w:ascii="Times New Roman" w:eastAsia="Times New Roman" w:hAnsi="Times New Roman" w:cs="Times New Roman"/>
        </w:rPr>
        <w:t xml:space="preserve">Using </w:t>
      </w:r>
      <w:r w:rsidR="00504452" w:rsidRPr="478C4939">
        <w:rPr>
          <w:rFonts w:ascii="Times New Roman" w:eastAsia="Times New Roman" w:hAnsi="Times New Roman" w:cs="Times New Roman"/>
        </w:rPr>
        <w:t>strength</w:t>
      </w:r>
      <w:r w:rsidRPr="478C4939">
        <w:rPr>
          <w:rFonts w:ascii="Times New Roman" w:eastAsia="Times New Roman" w:hAnsi="Times New Roman" w:cs="Times New Roman"/>
        </w:rPr>
        <w:t xml:space="preserve">-based, inclusive strategies that are clear and available in multiple languages can help involve all parents as equal, respected partners. Building these connections should include trusted community members and organizations and keep parents informed about school expectations and values. This way, parents can become knowledgeable and active advocates for their children. Creating welcoming, respectful spaces; removing barriers; and </w:t>
      </w:r>
      <w:r w:rsidRPr="478C4939">
        <w:rPr>
          <w:rFonts w:ascii="Times New Roman" w:eastAsia="Times New Roman" w:hAnsi="Times New Roman" w:cs="Times New Roman"/>
        </w:rPr>
        <w:lastRenderedPageBreak/>
        <w:t xml:space="preserve">communicating effectively with parents of immigrant youth should be the foundation of these partnerships </w:t>
      </w:r>
      <w:r w:rsidR="6C0EF7CA" w:rsidRPr="478C4939">
        <w:rPr>
          <w:rFonts w:ascii="Times New Roman" w:eastAsia="Times New Roman" w:hAnsi="Times New Roman" w:cs="Times New Roman"/>
        </w:rPr>
        <w:t>(Housel, 2020).</w:t>
      </w:r>
    </w:p>
    <w:p w14:paraId="62FD07F3" w14:textId="7FF5D578" w:rsidR="5C53B780" w:rsidRDefault="5C53B780" w:rsidP="478C4939">
      <w:pPr>
        <w:spacing w:before="120" w:after="120" w:line="480" w:lineRule="auto"/>
        <w:ind w:firstLine="720"/>
      </w:pPr>
      <w:r w:rsidRPr="478C4939">
        <w:rPr>
          <w:rFonts w:ascii="Times New Roman" w:eastAsia="Times New Roman" w:hAnsi="Times New Roman" w:cs="Times New Roman"/>
        </w:rPr>
        <w:t>Many of these factors ultimately relate to trust. When families lack sufficient trust in schools to invest in a relationship, even schools that actively seek to engage their family community may struggle to secure active participation. Trust manifests in several ways, including confidence that teachers will act in students' best interests, belief that the organization is receptive and welcoming to families, assurance that family input is valued, and conviction that families and schools share common goals for students.</w:t>
      </w:r>
    </w:p>
    <w:p w14:paraId="2B76A412" w14:textId="6A4D72FD" w:rsidR="2CAC490C" w:rsidRDefault="2CAC490C" w:rsidP="478C4939">
      <w:pPr>
        <w:spacing w:before="120" w:after="120" w:line="480" w:lineRule="auto"/>
        <w:ind w:firstLine="720"/>
      </w:pPr>
      <w:r w:rsidRPr="478C4939">
        <w:rPr>
          <w:rFonts w:ascii="Times New Roman" w:eastAsia="Times New Roman" w:hAnsi="Times New Roman" w:cs="Times New Roman"/>
        </w:rPr>
        <w:t>Multiple factors influence the extent of family involvement in children's education. Barriers such as limited time, demanding work schedules, language differences, parental education levels, beliefs regarding students’ abilities, and varying expectations for students’ futures can impede participation. These challenges are often more pronounced for Culturally, Linguistically, and Economically Diverse families. Minority groups tend to be less involved, underrepresented, and less informed, with reduced access to resources and increased challenges related to language, transportation, communication, and childcare</w:t>
      </w:r>
      <w:r w:rsidR="0EFC89B0" w:rsidRPr="478C4939">
        <w:rPr>
          <w:rFonts w:ascii="Times New Roman" w:eastAsia="Times New Roman" w:hAnsi="Times New Roman" w:cs="Times New Roman"/>
        </w:rPr>
        <w:t xml:space="preserve"> (Lockhart &amp; Mun, 2020).</w:t>
      </w:r>
    </w:p>
    <w:p w14:paraId="37B6E50E" w14:textId="74CC903C" w:rsidR="369B0934" w:rsidRDefault="369B0934" w:rsidP="478C4939">
      <w:pPr>
        <w:spacing w:before="120" w:after="120" w:line="480" w:lineRule="auto"/>
      </w:pPr>
      <w:r w:rsidRPr="478C4939">
        <w:rPr>
          <w:rFonts w:ascii="Times New Roman" w:eastAsia="Times New Roman" w:hAnsi="Times New Roman" w:cs="Times New Roman"/>
          <w:b/>
          <w:bCs/>
        </w:rPr>
        <w:t>Infographic</w:t>
      </w:r>
    </w:p>
    <w:p w14:paraId="05AD4FAA" w14:textId="22B57D0B" w:rsidR="369B0934" w:rsidRDefault="369B0934" w:rsidP="478C4939">
      <w:pPr>
        <w:spacing w:before="120" w:after="120" w:line="480" w:lineRule="auto"/>
      </w:pPr>
      <w:hyperlink r:id="rId4">
        <w:r w:rsidRPr="478C4939">
          <w:rPr>
            <w:rStyle w:val="Hyperlink"/>
          </w:rPr>
          <w:t>World Refugee Day - Piktochart Editor</w:t>
        </w:r>
      </w:hyperlink>
    </w:p>
    <w:p w14:paraId="19915FED" w14:textId="1E7D2287" w:rsidR="478C4939" w:rsidRDefault="478C4939" w:rsidP="478C4939">
      <w:pPr>
        <w:spacing w:before="120" w:after="120" w:line="480" w:lineRule="auto"/>
      </w:pPr>
    </w:p>
    <w:p w14:paraId="03D5E723" w14:textId="320EF03A" w:rsidR="478C4939" w:rsidRDefault="478C4939" w:rsidP="478C4939">
      <w:pPr>
        <w:spacing w:before="120" w:after="120" w:line="480" w:lineRule="auto"/>
        <w:ind w:firstLine="720"/>
        <w:rPr>
          <w:rFonts w:ascii="Times New Roman" w:eastAsia="Times New Roman" w:hAnsi="Times New Roman" w:cs="Times New Roman"/>
        </w:rPr>
      </w:pPr>
    </w:p>
    <w:p w14:paraId="3B910219" w14:textId="436BCDAD" w:rsidR="478C4939" w:rsidRDefault="478C4939" w:rsidP="478C4939">
      <w:pPr>
        <w:spacing w:before="120" w:after="120" w:line="480" w:lineRule="auto"/>
        <w:ind w:firstLine="720"/>
        <w:rPr>
          <w:rFonts w:ascii="Times New Roman" w:eastAsia="Times New Roman" w:hAnsi="Times New Roman" w:cs="Times New Roman"/>
        </w:rPr>
      </w:pPr>
    </w:p>
    <w:p w14:paraId="00423528" w14:textId="7BC5CF03" w:rsidR="478C4939" w:rsidRDefault="478C4939" w:rsidP="478C4939">
      <w:pPr>
        <w:spacing w:before="120" w:after="120" w:line="480" w:lineRule="auto"/>
        <w:ind w:firstLine="720"/>
        <w:rPr>
          <w:rFonts w:ascii="Times New Roman" w:eastAsia="Times New Roman" w:hAnsi="Times New Roman" w:cs="Times New Roman"/>
        </w:rPr>
      </w:pPr>
    </w:p>
    <w:p w14:paraId="54078487" w14:textId="77777777" w:rsidR="00D429D0" w:rsidRDefault="00D429D0" w:rsidP="00D429D0">
      <w:pPr>
        <w:rPr>
          <w:b/>
          <w:bCs/>
        </w:rPr>
      </w:pPr>
    </w:p>
    <w:p w14:paraId="0C04C97E" w14:textId="304EA472" w:rsidR="08BDC5F3" w:rsidRDefault="08BDC5F3" w:rsidP="006149F0">
      <w:pPr>
        <w:jc w:val="center"/>
      </w:pPr>
      <w:r w:rsidRPr="478C4939">
        <w:rPr>
          <w:b/>
          <w:bCs/>
        </w:rPr>
        <w:lastRenderedPageBreak/>
        <w:t>References</w:t>
      </w:r>
    </w:p>
    <w:p w14:paraId="263843C2" w14:textId="2B2A5EF7" w:rsidR="08BDC5F3" w:rsidRDefault="08BDC5F3" w:rsidP="478C4939">
      <w:pPr>
        <w:spacing w:before="120" w:after="120" w:line="480" w:lineRule="auto"/>
      </w:pPr>
      <w:r w:rsidRPr="478C4939">
        <w:t>Housel, D. A. (2020). Supporting the engagement and participation of multicultural, multilingual</w:t>
      </w:r>
    </w:p>
    <w:p w14:paraId="36AF3079" w14:textId="087331E0" w:rsidR="08BDC5F3" w:rsidRDefault="08BDC5F3" w:rsidP="478C4939">
      <w:pPr>
        <w:spacing w:before="120" w:after="120" w:line="480" w:lineRule="auto"/>
        <w:ind w:firstLine="720"/>
      </w:pPr>
      <w:r w:rsidRPr="478C4939">
        <w:t xml:space="preserve"> immigrant families in public education in the United States: Some practical strategies.</w:t>
      </w:r>
    </w:p>
    <w:p w14:paraId="0BA45B37" w14:textId="3822ECB0" w:rsidR="08BDC5F3" w:rsidRDefault="08BDC5F3" w:rsidP="478C4939">
      <w:pPr>
        <w:spacing w:before="120" w:after="120" w:line="480" w:lineRule="auto"/>
        <w:ind w:firstLine="720"/>
      </w:pPr>
      <w:r w:rsidRPr="478C4939">
        <w:t xml:space="preserve"> </w:t>
      </w:r>
      <w:r w:rsidRPr="478C4939">
        <w:rPr>
          <w:i/>
          <w:iCs/>
        </w:rPr>
        <w:t>School</w:t>
      </w:r>
      <w:r w:rsidR="169AF87B" w:rsidRPr="478C4939">
        <w:rPr>
          <w:i/>
          <w:iCs/>
        </w:rPr>
        <w:t xml:space="preserve"> </w:t>
      </w:r>
      <w:r w:rsidRPr="478C4939">
        <w:rPr>
          <w:i/>
          <w:iCs/>
        </w:rPr>
        <w:t>Community Journal</w:t>
      </w:r>
      <w:r w:rsidRPr="478C4939">
        <w:t xml:space="preserve">, </w:t>
      </w:r>
      <w:r w:rsidRPr="478C4939">
        <w:rPr>
          <w:i/>
          <w:iCs/>
        </w:rPr>
        <w:t>30</w:t>
      </w:r>
      <w:r w:rsidRPr="478C4939">
        <w:t>(2), 185–209.</w:t>
      </w:r>
    </w:p>
    <w:p w14:paraId="1E233A95" w14:textId="524D5F63" w:rsidR="07E46BCF" w:rsidRDefault="07E46BCF" w:rsidP="478C4939">
      <w:pPr>
        <w:spacing w:before="120" w:after="120" w:line="480" w:lineRule="auto"/>
        <w:ind w:left="720" w:hanging="720"/>
      </w:pPr>
      <w:r w:rsidRPr="478C4939">
        <w:rPr>
          <w:rFonts w:ascii="Times New Roman" w:eastAsia="Times New Roman" w:hAnsi="Times New Roman" w:cs="Times New Roman"/>
        </w:rPr>
        <w:t xml:space="preserve">Lockhart, K., &amp; Mun, R. U. (2020). Developing a strong home–school connection to better identify and serve culturally, linguistically, and economically diverse gifted and talented students. </w:t>
      </w:r>
      <w:r w:rsidRPr="478C4939">
        <w:rPr>
          <w:rFonts w:ascii="Times New Roman" w:eastAsia="Times New Roman" w:hAnsi="Times New Roman" w:cs="Times New Roman"/>
          <w:i/>
          <w:iCs/>
        </w:rPr>
        <w:t>Gifted Child Today, 43</w:t>
      </w:r>
      <w:r w:rsidRPr="478C4939">
        <w:rPr>
          <w:rFonts w:ascii="Times New Roman" w:eastAsia="Times New Roman" w:hAnsi="Times New Roman" w:cs="Times New Roman"/>
        </w:rPr>
        <w:t xml:space="preserve">(4), 231–238. </w:t>
      </w:r>
      <w:hyperlink r:id="rId5">
        <w:r w:rsidRPr="478C4939">
          <w:rPr>
            <w:rStyle w:val="Hyperlink"/>
            <w:color w:val="auto"/>
            <w:u w:val="none"/>
          </w:rPr>
          <w:t>https://doi.org/10.1177/1076217520940743</w:t>
        </w:r>
      </w:hyperlink>
    </w:p>
    <w:p w14:paraId="3398ED47" w14:textId="7C6998BA" w:rsidR="478C4939" w:rsidRDefault="478C4939" w:rsidP="478C4939">
      <w:pPr>
        <w:spacing w:before="120" w:after="120" w:line="480" w:lineRule="auto"/>
        <w:ind w:left="720" w:hanging="720"/>
        <w:jc w:val="both"/>
      </w:pPr>
    </w:p>
    <w:p w14:paraId="02667A36" w14:textId="1F59A7AC" w:rsidR="478C4939" w:rsidRDefault="478C4939" w:rsidP="478C4939">
      <w:pPr>
        <w:spacing w:before="120" w:after="120"/>
        <w:rPr>
          <w:rFonts w:ascii="Times New Roman" w:eastAsia="Times New Roman" w:hAnsi="Times New Roman" w:cs="Times New Roman"/>
        </w:rPr>
      </w:pPr>
    </w:p>
    <w:p w14:paraId="5BA0BC84" w14:textId="033A0B70" w:rsidR="478C4939" w:rsidRDefault="478C4939" w:rsidP="478C4939"/>
    <w:p w14:paraId="06560C69" w14:textId="3CD3B90B" w:rsidR="478C4939" w:rsidRDefault="478C4939" w:rsidP="478C4939"/>
    <w:sectPr w:rsidR="478C49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g9mVkFWVGWj6FI" int2:id="QNDtM79J">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DA812C"/>
    <w:rsid w:val="00254FAC"/>
    <w:rsid w:val="002D4E5F"/>
    <w:rsid w:val="0040350C"/>
    <w:rsid w:val="00504452"/>
    <w:rsid w:val="006149F0"/>
    <w:rsid w:val="007178EB"/>
    <w:rsid w:val="00B0166E"/>
    <w:rsid w:val="00D429D0"/>
    <w:rsid w:val="0142E81A"/>
    <w:rsid w:val="02265443"/>
    <w:rsid w:val="063CBC48"/>
    <w:rsid w:val="07E46BCF"/>
    <w:rsid w:val="08093FE4"/>
    <w:rsid w:val="08BDC5F3"/>
    <w:rsid w:val="094DD31B"/>
    <w:rsid w:val="0B17AA9D"/>
    <w:rsid w:val="0DD7A267"/>
    <w:rsid w:val="0EFC89B0"/>
    <w:rsid w:val="1183A55E"/>
    <w:rsid w:val="169AF87B"/>
    <w:rsid w:val="1756E8DF"/>
    <w:rsid w:val="1F9A5608"/>
    <w:rsid w:val="20DAA5C8"/>
    <w:rsid w:val="26B286A1"/>
    <w:rsid w:val="29DA812C"/>
    <w:rsid w:val="2B407B6C"/>
    <w:rsid w:val="2CAC490C"/>
    <w:rsid w:val="2E091EEA"/>
    <w:rsid w:val="2E5D2373"/>
    <w:rsid w:val="30AEC288"/>
    <w:rsid w:val="31F5D252"/>
    <w:rsid w:val="34F3AB32"/>
    <w:rsid w:val="35E6455D"/>
    <w:rsid w:val="369B0934"/>
    <w:rsid w:val="3CF68D8C"/>
    <w:rsid w:val="40E23FFA"/>
    <w:rsid w:val="423F328C"/>
    <w:rsid w:val="44B069B5"/>
    <w:rsid w:val="45F88C82"/>
    <w:rsid w:val="478C4939"/>
    <w:rsid w:val="485E2672"/>
    <w:rsid w:val="4A81CBE3"/>
    <w:rsid w:val="4B6650B1"/>
    <w:rsid w:val="4B76B5E9"/>
    <w:rsid w:val="506F732F"/>
    <w:rsid w:val="51C47A4D"/>
    <w:rsid w:val="51E8EBFB"/>
    <w:rsid w:val="5434864D"/>
    <w:rsid w:val="56DAA7F1"/>
    <w:rsid w:val="58DE0FA7"/>
    <w:rsid w:val="5BD56366"/>
    <w:rsid w:val="5C4E1773"/>
    <w:rsid w:val="5C53B780"/>
    <w:rsid w:val="5D096104"/>
    <w:rsid w:val="62210E80"/>
    <w:rsid w:val="63BAC4F5"/>
    <w:rsid w:val="641D41D4"/>
    <w:rsid w:val="69DA2FFC"/>
    <w:rsid w:val="6C0EF7CA"/>
    <w:rsid w:val="6FA29FFC"/>
    <w:rsid w:val="7130559F"/>
    <w:rsid w:val="725C687E"/>
    <w:rsid w:val="7326C78E"/>
    <w:rsid w:val="75F352B6"/>
    <w:rsid w:val="76412E19"/>
    <w:rsid w:val="77339626"/>
    <w:rsid w:val="77B50F4F"/>
    <w:rsid w:val="7B6E0DE1"/>
    <w:rsid w:val="7DA9662F"/>
    <w:rsid w:val="7F333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04B5"/>
  <w15:chartTrackingRefBased/>
  <w15:docId w15:val="{6B8A620A-11CD-4829-97CD-66CA079E2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478C493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77/1076217520940743" TargetMode="External"/><Relationship Id="rId4" Type="http://schemas.openxmlformats.org/officeDocument/2006/relationships/hyperlink" Target="https://create.piktochart.com/beta/teams/34018485/saved/701599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3363</Characters>
  <Application>Microsoft Office Word</Application>
  <DocSecurity>0</DocSecurity>
  <Lines>28</Lines>
  <Paragraphs>7</Paragraphs>
  <ScaleCrop>false</ScaleCrop>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Feliciano</dc:creator>
  <cp:keywords/>
  <dc:description/>
  <cp:lastModifiedBy>Maria Feliciano</cp:lastModifiedBy>
  <cp:revision>2</cp:revision>
  <dcterms:created xsi:type="dcterms:W3CDTF">2026-09-06T20:35:00Z</dcterms:created>
  <dcterms:modified xsi:type="dcterms:W3CDTF">2026-09-06T20:35:00Z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I_WORD_DOCUMENT_FILENAME">
    <vt:lpwstr>Feliciano,M.-BE6123-Module 8 Assignment.docx</vt:lpwstr>
  </property>
  <property fmtid="{D5CDD505-2E9C-101B-9397-08002B2CF9AE}" pid="3" name="TII_WORD_DOCUMENT_ID">
    <vt:lpwstr>1db37243-fadd-4ae6-8b96-06908903b6a0</vt:lpwstr>
  </property>
  <property fmtid="{D5CDD505-2E9C-101B-9397-08002B2CF9AE}" pid="4" name="GrammarlyDocumentId">
    <vt:lpwstr>e32b358c-9d65-4d01-9106-cc7a281d11e6</vt:lpwstr>
  </property>
</Properties>
</file>