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A1B4E" w14:textId="32F262E5" w:rsidR="035C1781" w:rsidRDefault="035C1781" w:rsidP="035C1781">
      <w:pPr>
        <w:jc w:val="center"/>
        <w:rPr>
          <w:rFonts w:ascii="Times New Roman" w:eastAsia="Times New Roman" w:hAnsi="Times New Roman" w:cs="Times New Roman"/>
        </w:rPr>
      </w:pPr>
    </w:p>
    <w:p w14:paraId="5B2ABCD2" w14:textId="6AB0168F" w:rsidR="035C1781" w:rsidRDefault="035C1781" w:rsidP="035C1781">
      <w:pPr>
        <w:jc w:val="center"/>
        <w:rPr>
          <w:rFonts w:ascii="Times New Roman" w:eastAsia="Times New Roman" w:hAnsi="Times New Roman" w:cs="Times New Roman"/>
        </w:rPr>
      </w:pPr>
    </w:p>
    <w:p w14:paraId="2CE1C745" w14:textId="4541D130" w:rsidR="035C1781" w:rsidRDefault="035C1781" w:rsidP="035C1781">
      <w:pPr>
        <w:jc w:val="center"/>
        <w:rPr>
          <w:rFonts w:ascii="Times New Roman" w:eastAsia="Times New Roman" w:hAnsi="Times New Roman" w:cs="Times New Roman"/>
        </w:rPr>
      </w:pPr>
    </w:p>
    <w:p w14:paraId="502BD50B" w14:textId="3119BB1E" w:rsidR="035C1781" w:rsidRDefault="035C1781" w:rsidP="035C1781">
      <w:pPr>
        <w:jc w:val="center"/>
        <w:rPr>
          <w:rFonts w:ascii="Times New Roman" w:eastAsia="Times New Roman" w:hAnsi="Times New Roman" w:cs="Times New Roman"/>
        </w:rPr>
      </w:pPr>
    </w:p>
    <w:p w14:paraId="7821B4FD" w14:textId="1D592128" w:rsidR="3AED2718" w:rsidRDefault="3AED2718" w:rsidP="035C1781">
      <w:pPr>
        <w:jc w:val="center"/>
      </w:pPr>
      <w:r w:rsidRPr="035C1781">
        <w:rPr>
          <w:rFonts w:ascii="Times New Roman" w:eastAsia="Times New Roman" w:hAnsi="Times New Roman" w:cs="Times New Roman"/>
          <w:b/>
          <w:bCs/>
        </w:rPr>
        <w:t>Culturally Sustaining Community Action Plan</w:t>
      </w:r>
    </w:p>
    <w:p w14:paraId="0775B5F9" w14:textId="49E23A4C" w:rsidR="035C1781" w:rsidRDefault="035C1781" w:rsidP="035C1781">
      <w:pPr>
        <w:jc w:val="center"/>
        <w:rPr>
          <w:rFonts w:ascii="Times New Roman" w:eastAsia="Times New Roman" w:hAnsi="Times New Roman" w:cs="Times New Roman"/>
          <w:b/>
          <w:bCs/>
        </w:rPr>
      </w:pPr>
    </w:p>
    <w:p w14:paraId="2026B8E9" w14:textId="071BA92F" w:rsidR="035C1781" w:rsidRDefault="035C1781" w:rsidP="035C1781">
      <w:pPr>
        <w:jc w:val="center"/>
        <w:rPr>
          <w:rFonts w:ascii="Times New Roman" w:eastAsia="Times New Roman" w:hAnsi="Times New Roman" w:cs="Times New Roman"/>
          <w:b/>
          <w:bCs/>
        </w:rPr>
      </w:pPr>
    </w:p>
    <w:p w14:paraId="7BA89C93" w14:textId="48316F8A" w:rsidR="3AED2718" w:rsidRDefault="3AED2718" w:rsidP="035C1781">
      <w:pPr>
        <w:jc w:val="center"/>
      </w:pPr>
      <w:r w:rsidRPr="035C1781">
        <w:rPr>
          <w:rFonts w:ascii="Times New Roman" w:eastAsia="Times New Roman" w:hAnsi="Times New Roman" w:cs="Times New Roman"/>
        </w:rPr>
        <w:t>Maria Feliciano</w:t>
      </w:r>
    </w:p>
    <w:p w14:paraId="223E31DB" w14:textId="6FE3C023" w:rsidR="3AED2718" w:rsidRDefault="3AED2718" w:rsidP="035C1781">
      <w:pPr>
        <w:jc w:val="center"/>
      </w:pPr>
      <w:r w:rsidRPr="035C1781">
        <w:rPr>
          <w:rFonts w:ascii="Times New Roman" w:eastAsia="Times New Roman" w:hAnsi="Times New Roman" w:cs="Times New Roman"/>
        </w:rPr>
        <w:t xml:space="preserve">American College of Education </w:t>
      </w:r>
    </w:p>
    <w:p w14:paraId="05590987" w14:textId="21A2773E" w:rsidR="497FF235" w:rsidRDefault="497FF235" w:rsidP="035C1781">
      <w:pPr>
        <w:jc w:val="center"/>
      </w:pPr>
      <w:r w:rsidRPr="035C1781">
        <w:rPr>
          <w:rFonts w:ascii="Times New Roman" w:eastAsia="Times New Roman" w:hAnsi="Times New Roman" w:cs="Times New Roman"/>
        </w:rPr>
        <w:t>BE6123</w:t>
      </w:r>
    </w:p>
    <w:p w14:paraId="48C7839D" w14:textId="7BDA8780" w:rsidR="497FF235" w:rsidRDefault="497FF235" w:rsidP="035C1781">
      <w:pPr>
        <w:jc w:val="center"/>
      </w:pPr>
      <w:r w:rsidRPr="035C1781">
        <w:rPr>
          <w:rFonts w:ascii="Times New Roman" w:eastAsia="Times New Roman" w:hAnsi="Times New Roman" w:cs="Times New Roman"/>
        </w:rPr>
        <w:t>Dr. Stalnaker</w:t>
      </w:r>
    </w:p>
    <w:p w14:paraId="3349FE98" w14:textId="0E92368C" w:rsidR="497FF235" w:rsidRDefault="497FF235" w:rsidP="035C1781">
      <w:pPr>
        <w:jc w:val="center"/>
      </w:pPr>
      <w:r w:rsidRPr="035C1781">
        <w:rPr>
          <w:rFonts w:ascii="Times New Roman" w:eastAsia="Times New Roman" w:hAnsi="Times New Roman" w:cs="Times New Roman"/>
        </w:rPr>
        <w:t>September 14, 2026</w:t>
      </w:r>
    </w:p>
    <w:p w14:paraId="2B2C90E1" w14:textId="0B0975FF" w:rsidR="035C1781" w:rsidRDefault="035C1781" w:rsidP="035C1781">
      <w:pPr>
        <w:jc w:val="center"/>
        <w:rPr>
          <w:rFonts w:ascii="Times New Roman" w:eastAsia="Times New Roman" w:hAnsi="Times New Roman" w:cs="Times New Roman"/>
        </w:rPr>
      </w:pPr>
    </w:p>
    <w:p w14:paraId="27A103B3" w14:textId="4A2C71EB" w:rsidR="035C1781" w:rsidRDefault="035C1781" w:rsidP="035C1781">
      <w:pPr>
        <w:jc w:val="center"/>
        <w:rPr>
          <w:rFonts w:ascii="Times New Roman" w:eastAsia="Times New Roman" w:hAnsi="Times New Roman" w:cs="Times New Roman"/>
        </w:rPr>
      </w:pPr>
    </w:p>
    <w:p w14:paraId="7D95CE77" w14:textId="3C2B2D79" w:rsidR="035C1781" w:rsidRDefault="035C1781" w:rsidP="035C1781">
      <w:pPr>
        <w:jc w:val="center"/>
        <w:rPr>
          <w:rFonts w:ascii="Times New Roman" w:eastAsia="Times New Roman" w:hAnsi="Times New Roman" w:cs="Times New Roman"/>
        </w:rPr>
      </w:pPr>
    </w:p>
    <w:p w14:paraId="60D44576" w14:textId="28FF9E5B" w:rsidR="035C1781" w:rsidRDefault="035C1781" w:rsidP="035C1781">
      <w:pPr>
        <w:jc w:val="center"/>
        <w:rPr>
          <w:rFonts w:ascii="Times New Roman" w:eastAsia="Times New Roman" w:hAnsi="Times New Roman" w:cs="Times New Roman"/>
        </w:rPr>
      </w:pPr>
    </w:p>
    <w:p w14:paraId="567C2A5B" w14:textId="63C4C9F2" w:rsidR="035C1781" w:rsidRDefault="035C1781" w:rsidP="035C1781">
      <w:pPr>
        <w:jc w:val="center"/>
        <w:rPr>
          <w:rFonts w:ascii="Times New Roman" w:eastAsia="Times New Roman" w:hAnsi="Times New Roman" w:cs="Times New Roman"/>
        </w:rPr>
      </w:pPr>
    </w:p>
    <w:p w14:paraId="4C65F387" w14:textId="39A9E97B" w:rsidR="035C1781" w:rsidRDefault="035C1781" w:rsidP="035C1781">
      <w:pPr>
        <w:jc w:val="center"/>
        <w:rPr>
          <w:rFonts w:ascii="Times New Roman" w:eastAsia="Times New Roman" w:hAnsi="Times New Roman" w:cs="Times New Roman"/>
        </w:rPr>
      </w:pPr>
    </w:p>
    <w:p w14:paraId="3506265F" w14:textId="1408D992" w:rsidR="035C1781" w:rsidRDefault="035C1781" w:rsidP="035C1781">
      <w:pPr>
        <w:jc w:val="center"/>
        <w:rPr>
          <w:rFonts w:ascii="Times New Roman" w:eastAsia="Times New Roman" w:hAnsi="Times New Roman" w:cs="Times New Roman"/>
        </w:rPr>
      </w:pPr>
    </w:p>
    <w:p w14:paraId="011F2890" w14:textId="5E3B790E" w:rsidR="035C1781" w:rsidRDefault="035C1781" w:rsidP="035C1781">
      <w:pPr>
        <w:jc w:val="center"/>
        <w:rPr>
          <w:rFonts w:ascii="Times New Roman" w:eastAsia="Times New Roman" w:hAnsi="Times New Roman" w:cs="Times New Roman"/>
        </w:rPr>
      </w:pPr>
    </w:p>
    <w:p w14:paraId="5A9A0F7F" w14:textId="4641F988" w:rsidR="035C1781" w:rsidRDefault="035C1781" w:rsidP="035C1781">
      <w:pPr>
        <w:jc w:val="center"/>
        <w:rPr>
          <w:rFonts w:ascii="Times New Roman" w:eastAsia="Times New Roman" w:hAnsi="Times New Roman" w:cs="Times New Roman"/>
        </w:rPr>
      </w:pPr>
    </w:p>
    <w:p w14:paraId="42C1828A" w14:textId="31BB4316" w:rsidR="035C1781" w:rsidRDefault="035C1781" w:rsidP="035C1781">
      <w:pPr>
        <w:jc w:val="center"/>
        <w:rPr>
          <w:rFonts w:ascii="Times New Roman" w:eastAsia="Times New Roman" w:hAnsi="Times New Roman" w:cs="Times New Roman"/>
        </w:rPr>
      </w:pPr>
    </w:p>
    <w:p w14:paraId="4EA21FD2" w14:textId="5CF731DA" w:rsidR="035C1781" w:rsidRDefault="035C1781" w:rsidP="035C1781">
      <w:pPr>
        <w:jc w:val="center"/>
        <w:rPr>
          <w:rFonts w:ascii="Times New Roman" w:eastAsia="Times New Roman" w:hAnsi="Times New Roman" w:cs="Times New Roman"/>
        </w:rPr>
      </w:pPr>
    </w:p>
    <w:p w14:paraId="1AE80639" w14:textId="348682C5" w:rsidR="035C1781" w:rsidRDefault="035C1781" w:rsidP="035C1781">
      <w:pPr>
        <w:jc w:val="center"/>
        <w:rPr>
          <w:rFonts w:ascii="Times New Roman" w:eastAsia="Times New Roman" w:hAnsi="Times New Roman" w:cs="Times New Roman"/>
        </w:rPr>
      </w:pPr>
    </w:p>
    <w:p w14:paraId="65F77929" w14:textId="059B9428" w:rsidR="035C1781" w:rsidRDefault="035C1781" w:rsidP="035C1781">
      <w:pPr>
        <w:jc w:val="center"/>
        <w:rPr>
          <w:rFonts w:ascii="Times New Roman" w:eastAsia="Times New Roman" w:hAnsi="Times New Roman" w:cs="Times New Roman"/>
        </w:rPr>
      </w:pPr>
    </w:p>
    <w:p w14:paraId="55791238" w14:textId="54E46759" w:rsidR="035C1781" w:rsidRDefault="035C1781" w:rsidP="035C1781">
      <w:pPr>
        <w:jc w:val="center"/>
        <w:rPr>
          <w:rFonts w:ascii="Times New Roman" w:eastAsia="Times New Roman" w:hAnsi="Times New Roman" w:cs="Times New Roman"/>
        </w:rPr>
      </w:pPr>
    </w:p>
    <w:p w14:paraId="24E73BDF" w14:textId="2C9AA6A2" w:rsidR="035C1781" w:rsidRDefault="035C1781" w:rsidP="035C1781">
      <w:pPr>
        <w:jc w:val="center"/>
        <w:rPr>
          <w:rFonts w:ascii="Times New Roman" w:eastAsia="Times New Roman" w:hAnsi="Times New Roman" w:cs="Times New Roman"/>
        </w:rPr>
      </w:pPr>
    </w:p>
    <w:p w14:paraId="260ADB9E" w14:textId="1D592128" w:rsidR="497FF235" w:rsidRDefault="11C4B79A" w:rsidP="035C1781">
      <w:pPr>
        <w:jc w:val="center"/>
      </w:pPr>
      <w:r w:rsidRPr="639703A0">
        <w:rPr>
          <w:rFonts w:ascii="Times New Roman" w:eastAsia="Times New Roman" w:hAnsi="Times New Roman" w:cs="Times New Roman"/>
          <w:b/>
          <w:bCs/>
        </w:rPr>
        <w:lastRenderedPageBreak/>
        <w:t>Culturally Sustaining Community Action Plan</w:t>
      </w:r>
    </w:p>
    <w:p w14:paraId="4EFCD1D5" w14:textId="7DABD63C" w:rsidR="04DA7BBC" w:rsidRDefault="04DA7BBC" w:rsidP="639703A0">
      <w:pPr>
        <w:jc w:val="center"/>
      </w:pPr>
      <w:r w:rsidRPr="639703A0">
        <w:rPr>
          <w:rFonts w:ascii="Times New Roman" w:eastAsia="Times New Roman" w:hAnsi="Times New Roman" w:cs="Times New Roman"/>
          <w:b/>
          <w:bCs/>
        </w:rPr>
        <w:t>School Division Context</w:t>
      </w:r>
    </w:p>
    <w:p w14:paraId="10922E87" w14:textId="39CBB368" w:rsidR="04DA7BBC" w:rsidRDefault="04DA7BBC" w:rsidP="639703A0">
      <w:pPr>
        <w:spacing w:before="120" w:after="120" w:line="480" w:lineRule="auto"/>
        <w:ind w:firstLine="720"/>
      </w:pPr>
      <w:r w:rsidRPr="639703A0">
        <w:rPr>
          <w:rFonts w:ascii="Times New Roman" w:eastAsia="Times New Roman" w:hAnsi="Times New Roman" w:cs="Times New Roman"/>
        </w:rPr>
        <w:t xml:space="preserve">HCPS is a small public-school division in central Virginia that serves about 4,000 students in seven schools. Each year, the district enrolls between 3,900 and 4,300 students from pre-kindergarten through twelfth grade, with a student-teacher ratio of 13:1. The student body is about 59% Black, 19% white, 14% Hispanic/Latino, and 7% multi-racial. State assessments show that around 52% of students are proficient in math and 54% in reading. Elementary and middle schools use Title I federal funding to support ongoing school improvement and help students meet performance standards. </w:t>
      </w:r>
    </w:p>
    <w:p w14:paraId="279536B0" w14:textId="7D4942D1" w:rsidR="2BE7D763" w:rsidRDefault="2BE7D763" w:rsidP="639703A0">
      <w:pPr>
        <w:spacing w:before="120" w:after="120" w:line="480" w:lineRule="auto"/>
        <w:ind w:firstLine="720"/>
      </w:pPr>
      <w:r w:rsidRPr="639703A0">
        <w:rPr>
          <w:rFonts w:ascii="Times New Roman" w:eastAsia="Times New Roman" w:hAnsi="Times New Roman" w:cs="Times New Roman"/>
        </w:rPr>
        <w:t>A Culturally Sustaining Community Action Plan will encourage English Learners and their families to take an active role in local civic change, rather than just receiving outreach. This approach, based on culturally sustaining teaching methods, makes sure that the language, history, and culture of immigrant and minoritized communities are valued, preserved, and used to support advocacy. By including these practices in local efforts, the plan helps build lasting civic strength in the community.</w:t>
      </w:r>
    </w:p>
    <w:p w14:paraId="57D7C171" w14:textId="0C90EED2" w:rsidR="5F450542" w:rsidRDefault="5F450542" w:rsidP="035C1781">
      <w:pPr>
        <w:spacing w:before="120" w:after="120" w:line="480" w:lineRule="auto"/>
      </w:pPr>
      <w:r w:rsidRPr="035C1781">
        <w:rPr>
          <w:rFonts w:ascii="Times New Roman" w:eastAsia="Times New Roman" w:hAnsi="Times New Roman" w:cs="Times New Roman"/>
        </w:rPr>
        <w:t xml:space="preserve">       </w:t>
      </w:r>
      <w:r w:rsidR="1A793964" w:rsidRPr="035C1781">
        <w:rPr>
          <w:rFonts w:ascii="Times New Roman" w:eastAsia="Times New Roman" w:hAnsi="Times New Roman" w:cs="Times New Roman"/>
        </w:rPr>
        <w:t xml:space="preserve"> Engaging students in viewing and creating art promotes critical thinking and highlights the transformative power of artistic expression. For example, a watercolor lesson can incorporate scientific inquiry by having students observe how watercolors interact with various papers or materials. This approach enables learners to create artwork intentionally guided by scientific understanding</w:t>
      </w:r>
      <w:r w:rsidR="37F806CC" w:rsidRPr="035C1781">
        <w:rPr>
          <w:rFonts w:ascii="Times New Roman" w:eastAsia="Times New Roman" w:hAnsi="Times New Roman" w:cs="Times New Roman"/>
        </w:rPr>
        <w:t>. Studies show that when schools focus only on numeracy and literacy, students miss chances to showcase their full range of talents and learning</w:t>
      </w:r>
      <w:r w:rsidR="4C6CFC60" w:rsidRPr="035C1781">
        <w:rPr>
          <w:rFonts w:ascii="Times New Roman" w:eastAsia="Times New Roman" w:hAnsi="Times New Roman" w:cs="Times New Roman"/>
        </w:rPr>
        <w:t xml:space="preserve">. </w:t>
      </w:r>
      <w:r w:rsidR="4596224C" w:rsidRPr="035C1781">
        <w:rPr>
          <w:rFonts w:ascii="Times New Roman" w:eastAsia="Times New Roman" w:hAnsi="Times New Roman" w:cs="Times New Roman"/>
        </w:rPr>
        <w:t xml:space="preserve"> </w:t>
      </w:r>
      <w:r w:rsidR="521757FA" w:rsidRPr="035C1781">
        <w:rPr>
          <w:rFonts w:ascii="Times New Roman" w:eastAsia="Times New Roman" w:hAnsi="Times New Roman" w:cs="Times New Roman"/>
        </w:rPr>
        <w:t xml:space="preserve">Given the diverse student population in the United States, educators should implement culturally relevant teaching to promote greater equity among students </w:t>
      </w:r>
      <w:r w:rsidR="1A793964" w:rsidRPr="035C1781">
        <w:rPr>
          <w:rFonts w:ascii="Times New Roman" w:eastAsia="Times New Roman" w:hAnsi="Times New Roman" w:cs="Times New Roman"/>
        </w:rPr>
        <w:t>(Aghasafari</w:t>
      </w:r>
      <w:r w:rsidR="31FC0CE4" w:rsidRPr="035C1781">
        <w:rPr>
          <w:rFonts w:ascii="Times New Roman" w:eastAsia="Times New Roman" w:hAnsi="Times New Roman" w:cs="Times New Roman"/>
        </w:rPr>
        <w:t xml:space="preserve"> et al., </w:t>
      </w:r>
      <w:r w:rsidR="1A793964" w:rsidRPr="035C1781">
        <w:rPr>
          <w:rFonts w:ascii="Times New Roman" w:eastAsia="Times New Roman" w:hAnsi="Times New Roman" w:cs="Times New Roman"/>
        </w:rPr>
        <w:t>2021).</w:t>
      </w:r>
    </w:p>
    <w:p w14:paraId="6A13C96E" w14:textId="711E0889" w:rsidR="69932E2B" w:rsidRDefault="12E5846D" w:rsidP="035C1781">
      <w:pPr>
        <w:spacing w:before="120" w:after="120" w:line="480" w:lineRule="auto"/>
        <w:ind w:firstLine="720"/>
      </w:pPr>
      <w:proofErr w:type="gramStart"/>
      <w:r w:rsidRPr="639703A0">
        <w:rPr>
          <w:rFonts w:ascii="Times New Roman" w:eastAsia="Times New Roman" w:hAnsi="Times New Roman" w:cs="Times New Roman"/>
        </w:rPr>
        <w:lastRenderedPageBreak/>
        <w:t>Wee</w:t>
      </w:r>
      <w:proofErr w:type="gramEnd"/>
      <w:r w:rsidRPr="639703A0">
        <w:rPr>
          <w:rFonts w:ascii="Times New Roman" w:eastAsia="Times New Roman" w:hAnsi="Times New Roman" w:cs="Times New Roman"/>
        </w:rPr>
        <w:t xml:space="preserve"> (2020) found that Korean parents played an important role as both facilitators and participants in Family Storytime. Their involvement helped children keep their heritage culture and language. With their parents' support, children practiced Korean and took part in cultural traditions. Parents said Family Storytime was a success. They enjoyed the sessions, noticed their children often talked about the books and activities, and were glad their children could hear Korean stories in both Korean and English. This example shows how bilingual parents can support family literacy when they are welcomed and respected, and when culturally relevant books and activities are included. Educators might want to consider the benefits of fully involving bilingual parents in their children's education (Wee, 20220).</w:t>
      </w:r>
    </w:p>
    <w:p w14:paraId="17D9E65E" w14:textId="57BE390A" w:rsidR="3265CC62" w:rsidRDefault="0D92C960" w:rsidP="639703A0">
      <w:pPr>
        <w:spacing w:before="120" w:after="120" w:line="480" w:lineRule="auto"/>
        <w:ind w:firstLine="720"/>
        <w:jc w:val="center"/>
      </w:pPr>
      <w:r w:rsidRPr="639703A0">
        <w:rPr>
          <w:rFonts w:ascii="Times New Roman" w:eastAsia="Times New Roman" w:hAnsi="Times New Roman" w:cs="Times New Roman"/>
          <w:b/>
          <w:bCs/>
        </w:rPr>
        <w:t>Community Profile</w:t>
      </w:r>
    </w:p>
    <w:p w14:paraId="41F063FD" w14:textId="10F3B653" w:rsidR="3265CC62" w:rsidRDefault="6D1D68C0" w:rsidP="639703A0">
      <w:pPr>
        <w:spacing w:before="120" w:after="120" w:line="480" w:lineRule="auto"/>
        <w:ind w:firstLine="720"/>
        <w:rPr>
          <w:rFonts w:ascii="Times New Roman" w:eastAsia="Times New Roman" w:hAnsi="Times New Roman" w:cs="Times New Roman"/>
        </w:rPr>
      </w:pPr>
      <w:r w:rsidRPr="639703A0">
        <w:rPr>
          <w:rFonts w:ascii="Times New Roman" w:eastAsia="Times New Roman" w:hAnsi="Times New Roman" w:cs="Times New Roman"/>
        </w:rPr>
        <w:t xml:space="preserve">Hispanic residents now </w:t>
      </w:r>
      <w:r w:rsidR="172BF67A" w:rsidRPr="639703A0">
        <w:rPr>
          <w:rFonts w:ascii="Times New Roman" w:eastAsia="Times New Roman" w:hAnsi="Times New Roman" w:cs="Times New Roman"/>
        </w:rPr>
        <w:t xml:space="preserve">make up nearly 9% </w:t>
      </w:r>
      <w:r w:rsidR="586C7419" w:rsidRPr="639703A0">
        <w:rPr>
          <w:rFonts w:ascii="Times New Roman" w:eastAsia="Times New Roman" w:hAnsi="Times New Roman" w:cs="Times New Roman"/>
        </w:rPr>
        <w:t>of Hopewell</w:t>
      </w:r>
      <w:r w:rsidR="172BF67A" w:rsidRPr="639703A0">
        <w:rPr>
          <w:rFonts w:ascii="Times New Roman" w:eastAsia="Times New Roman" w:hAnsi="Times New Roman" w:cs="Times New Roman"/>
        </w:rPr>
        <w:t xml:space="preserve"> City’s population</w:t>
      </w:r>
      <w:r w:rsidRPr="639703A0">
        <w:rPr>
          <w:rFonts w:ascii="Times New Roman" w:eastAsia="Times New Roman" w:hAnsi="Times New Roman" w:cs="Times New Roman"/>
        </w:rPr>
        <w:t>, with over 2,000 people contributing to the city’s rich and steadily expanding cultural tapestry.</w:t>
      </w:r>
      <w:r w:rsidR="64DD4063" w:rsidRPr="639703A0">
        <w:rPr>
          <w:rFonts w:ascii="Times New Roman" w:eastAsia="Times New Roman" w:hAnsi="Times New Roman" w:cs="Times New Roman"/>
        </w:rPr>
        <w:t xml:space="preserve"> </w:t>
      </w:r>
      <w:r w:rsidR="322972A7" w:rsidRPr="639703A0">
        <w:rPr>
          <w:rFonts w:ascii="Times New Roman" w:eastAsia="Times New Roman" w:hAnsi="Times New Roman" w:cs="Times New Roman"/>
        </w:rPr>
        <w:t>Hopewell’s growing Latino community mirrors broader demographic shifts in the Tri-Cities area, which includes Petersburg, Colonial Heights, and Hopewell. The region has traditionally depended on manufacturing, chemical industries, and proximity to Fort Gregg-Adams, a military base where 26.9% of the population is Hispanic (U.S. Census Bureau, 2026).</w:t>
      </w:r>
    </w:p>
    <w:p w14:paraId="41948608" w14:textId="4B4EC7D4" w:rsidR="3265CC62" w:rsidRDefault="2F1C1CE8" w:rsidP="639703A0">
      <w:pPr>
        <w:spacing w:before="120" w:after="120" w:line="480" w:lineRule="auto"/>
        <w:ind w:firstLine="720"/>
      </w:pPr>
      <w:r w:rsidRPr="639703A0">
        <w:rPr>
          <w:rFonts w:ascii="Times New Roman" w:eastAsia="Times New Roman" w:hAnsi="Times New Roman" w:cs="Times New Roman"/>
        </w:rPr>
        <w:t xml:space="preserve"> Most immigrants to the United States speak languages other than English. Within educational settings, these students are identified as “English learners” or emergent bilinguals, as they speak at least one language and are expected to acquire English proficiency. According to Title VI of U.S. federal civil rights law, school districts are prohibited from discriminating based on race or national origin. Consequently, schools must provide emergent bilinguals with meaningful and equal access to educational programs and services</w:t>
      </w:r>
      <w:r w:rsidR="452B8315" w:rsidRPr="639703A0">
        <w:rPr>
          <w:rFonts w:ascii="Times New Roman" w:eastAsia="Times New Roman" w:hAnsi="Times New Roman" w:cs="Times New Roman"/>
        </w:rPr>
        <w:t xml:space="preserve">. Language development is fundamentally communicative, social, and emotional, closely tied to an individual's identity. In </w:t>
      </w:r>
      <w:r w:rsidR="452B8315" w:rsidRPr="639703A0">
        <w:rPr>
          <w:rFonts w:ascii="Times New Roman" w:eastAsia="Times New Roman" w:hAnsi="Times New Roman" w:cs="Times New Roman"/>
        </w:rPr>
        <w:lastRenderedPageBreak/>
        <w:t xml:space="preserve">this study, newcomers who invested in learning English became increasingly willing to take risks. As they did so, their learning and confidence in using English to build relationships, communicate ideas, and acquire knowledge grew </w:t>
      </w:r>
      <w:r w:rsidRPr="639703A0">
        <w:rPr>
          <w:rFonts w:ascii="Times New Roman" w:eastAsia="Times New Roman" w:hAnsi="Times New Roman" w:cs="Times New Roman"/>
        </w:rPr>
        <w:t>(Symons &amp; Ponzio, 2019).</w:t>
      </w:r>
    </w:p>
    <w:p w14:paraId="43976AB7" w14:textId="76239D11" w:rsidR="65A07645" w:rsidRDefault="50556259" w:rsidP="639703A0">
      <w:pPr>
        <w:spacing w:before="120" w:after="120" w:line="480" w:lineRule="auto"/>
      </w:pPr>
      <w:r w:rsidRPr="639703A0">
        <w:rPr>
          <w:rFonts w:ascii="Times New Roman" w:eastAsia="Times New Roman" w:hAnsi="Times New Roman" w:cs="Times New Roman"/>
          <w:b/>
          <w:bCs/>
        </w:rPr>
        <w:t>Community Partners</w:t>
      </w:r>
    </w:p>
    <w:p w14:paraId="4853C07E" w14:textId="35742F10" w:rsidR="65A07645" w:rsidRDefault="50556259" w:rsidP="639703A0">
      <w:pPr>
        <w:pStyle w:val="Heading3"/>
        <w:spacing w:before="140" w:after="140" w:line="480" w:lineRule="auto"/>
        <w:ind w:firstLine="720"/>
      </w:pPr>
      <w:r w:rsidRPr="639703A0">
        <w:rPr>
          <w:rFonts w:ascii="Times New Roman" w:eastAsia="Times New Roman" w:hAnsi="Times New Roman" w:cs="Times New Roman"/>
          <w:color w:val="auto"/>
          <w:sz w:val="24"/>
          <w:szCs w:val="24"/>
        </w:rPr>
        <w:t xml:space="preserve">Latinos for Virginia Empowerment Center serves Hopewell by providing essential, culturally appropriate, bilingual advocacy services. The organization addresses systemic gaps through 24/7 crisis support, emergency shelter resources, and educational workshops tailored to the Hispanic community’s cultural and immigration needs. Sacred Heart Center, a leading regional hub for the Latino community, offers bilingual case management, health resource navigation, financial literacy, career planning, and free tax preparation. Its programs </w:t>
      </w:r>
      <w:bookmarkStart w:id="0" w:name="_Int_t73802PP"/>
      <w:r w:rsidRPr="639703A0">
        <w:rPr>
          <w:rFonts w:ascii="Times New Roman" w:eastAsia="Times New Roman" w:hAnsi="Times New Roman" w:cs="Times New Roman"/>
          <w:color w:val="auto"/>
          <w:sz w:val="24"/>
          <w:szCs w:val="24"/>
        </w:rPr>
        <w:t>model</w:t>
      </w:r>
      <w:bookmarkEnd w:id="0"/>
      <w:r w:rsidRPr="639703A0">
        <w:rPr>
          <w:rFonts w:ascii="Times New Roman" w:eastAsia="Times New Roman" w:hAnsi="Times New Roman" w:cs="Times New Roman"/>
          <w:color w:val="auto"/>
          <w:sz w:val="24"/>
          <w:szCs w:val="24"/>
        </w:rPr>
        <w:t xml:space="preserve"> culturally sustained community development.</w:t>
      </w:r>
    </w:p>
    <w:p w14:paraId="633D367F" w14:textId="531F9280" w:rsidR="65A07645" w:rsidRDefault="72EAE50D" w:rsidP="639703A0">
      <w:pPr>
        <w:pStyle w:val="Heading3"/>
        <w:spacing w:before="140" w:after="140" w:line="480" w:lineRule="auto"/>
        <w:ind w:firstLine="720"/>
      </w:pPr>
      <w:r w:rsidRPr="639703A0">
        <w:rPr>
          <w:rFonts w:ascii="Times New Roman" w:eastAsia="Times New Roman" w:hAnsi="Times New Roman" w:cs="Times New Roman"/>
          <w:color w:val="auto"/>
          <w:sz w:val="24"/>
          <w:szCs w:val="24"/>
        </w:rPr>
        <w:t xml:space="preserve">Students who speak a language other than English at home and whose initial English proficiency assessments indicate a need for additional language instruction typically receive ESL services through either push-in support from an ESL teacher within their homeroom classrooms or pull-out instruction in a separate ESL classroom. These approaches, designed to comply with Title VI, assume that ESL instruction will provide equitable access to educational programs, activities, and services. Nevertheless, supplementary English language instruction by itself is insufficient to guarantee meaningful learning opportunities for newcomer students </w:t>
      </w:r>
      <w:r w:rsidR="54AAF594" w:rsidRPr="639703A0">
        <w:rPr>
          <w:rFonts w:ascii="Times New Roman" w:eastAsia="Times New Roman" w:hAnsi="Times New Roman" w:cs="Times New Roman"/>
          <w:color w:val="auto"/>
          <w:sz w:val="24"/>
          <w:szCs w:val="24"/>
        </w:rPr>
        <w:t>(Symons &amp; Ponzio, 2019).</w:t>
      </w:r>
    </w:p>
    <w:p w14:paraId="160C3706" w14:textId="3B5CA591" w:rsidR="00BCF0F8" w:rsidRDefault="77EDB92B" w:rsidP="035C1781">
      <w:pPr>
        <w:spacing w:before="120" w:after="120" w:line="480" w:lineRule="auto"/>
        <w:ind w:firstLine="720"/>
      </w:pPr>
      <w:r w:rsidRPr="639703A0">
        <w:rPr>
          <w:rFonts w:ascii="Times New Roman" w:eastAsia="Times New Roman" w:hAnsi="Times New Roman" w:cs="Times New Roman"/>
        </w:rPr>
        <w:t xml:space="preserve">Engaging in activities that build cognitive skills and support higher-order learning, such as problem-solving and critical thinking, helps students deepen their understanding of key concepts. This approach encourages students to explore new academic and professional opportunities. Culturally relevant literacies in STEAM recognize that students, especially </w:t>
      </w:r>
      <w:r w:rsidRPr="639703A0">
        <w:rPr>
          <w:rFonts w:ascii="Times New Roman" w:eastAsia="Times New Roman" w:hAnsi="Times New Roman" w:cs="Times New Roman"/>
        </w:rPr>
        <w:lastRenderedPageBreak/>
        <w:t xml:space="preserve">emergent bi/multilingual learners, bring diverse cultural and linguistic resources to </w:t>
      </w:r>
      <w:proofErr w:type="gramStart"/>
      <w:r w:rsidRPr="639703A0">
        <w:rPr>
          <w:rFonts w:ascii="Times New Roman" w:eastAsia="Times New Roman" w:hAnsi="Times New Roman" w:cs="Times New Roman"/>
        </w:rPr>
        <w:t>meaning-making</w:t>
      </w:r>
      <w:proofErr w:type="gramEnd"/>
      <w:r w:rsidRPr="639703A0">
        <w:rPr>
          <w:rFonts w:ascii="Times New Roman" w:eastAsia="Times New Roman" w:hAnsi="Times New Roman" w:cs="Times New Roman"/>
        </w:rPr>
        <w:t xml:space="preserve"> in and beyond the classroom. These literacies challenge traditional models that limit literacy to print and language-based definitions. Modern science education emphasizes integrating knowledge and skills in authentic, real-world contexts (Aghasafari et al., 2021). </w:t>
      </w:r>
    </w:p>
    <w:p w14:paraId="3D324DB9" w14:textId="1390F2AB" w:rsidR="31459E0E" w:rsidRDefault="31459E0E" w:rsidP="035C1781">
      <w:pPr>
        <w:spacing w:before="120" w:after="120" w:line="480" w:lineRule="auto"/>
        <w:ind w:firstLine="720"/>
        <w:rPr>
          <w:rFonts w:ascii="Times New Roman" w:eastAsia="Times New Roman" w:hAnsi="Times New Roman" w:cs="Times New Roman"/>
        </w:rPr>
      </w:pPr>
      <w:r w:rsidRPr="035C1781">
        <w:rPr>
          <w:rFonts w:ascii="Times New Roman" w:eastAsia="Times New Roman" w:hAnsi="Times New Roman" w:cs="Times New Roman"/>
        </w:rPr>
        <w:t xml:space="preserve">To help families feel welcome and encourage participation, try making workshops more informal. Potlucks or family panels </w:t>
      </w:r>
      <w:proofErr w:type="gramStart"/>
      <w:r w:rsidRPr="035C1781">
        <w:rPr>
          <w:rFonts w:ascii="Times New Roman" w:eastAsia="Times New Roman" w:hAnsi="Times New Roman" w:cs="Times New Roman"/>
        </w:rPr>
        <w:t>held</w:t>
      </w:r>
      <w:proofErr w:type="gramEnd"/>
      <w:r w:rsidRPr="035C1781">
        <w:rPr>
          <w:rFonts w:ascii="Times New Roman" w:eastAsia="Times New Roman" w:hAnsi="Times New Roman" w:cs="Times New Roman"/>
        </w:rPr>
        <w:t xml:space="preserve"> at times </w:t>
      </w:r>
      <w:proofErr w:type="gramStart"/>
      <w:r w:rsidRPr="035C1781">
        <w:rPr>
          <w:rFonts w:ascii="Times New Roman" w:eastAsia="Times New Roman" w:hAnsi="Times New Roman" w:cs="Times New Roman"/>
        </w:rPr>
        <w:t>that</w:t>
      </w:r>
      <w:proofErr w:type="gramEnd"/>
      <w:r w:rsidRPr="035C1781">
        <w:rPr>
          <w:rFonts w:ascii="Times New Roman" w:eastAsia="Times New Roman" w:hAnsi="Times New Roman" w:cs="Times New Roman"/>
        </w:rPr>
        <w:t xml:space="preserve"> work for families can be effective. Offering food and childcare at these events helps more people attend and creates a friendly space where families feel comfortable asking questions and connecting with each other. These gatherings also give families of gifted and talented students a chance to network. Every workshop should provide interpretation services and share materials in families' home languages. When families do not have to worry about language barriers, whether in conversation, school systems, or cultural expectations, they are more likely to get involved (Lockhart &amp; Mun, 2020).</w:t>
      </w:r>
    </w:p>
    <w:p w14:paraId="5C67AF88" w14:textId="025E8690" w:rsidR="035C1781" w:rsidRDefault="044CB79D" w:rsidP="639703A0">
      <w:pPr>
        <w:spacing w:before="120" w:after="120" w:line="480" w:lineRule="auto"/>
      </w:pPr>
      <w:r w:rsidRPr="639703A0">
        <w:rPr>
          <w:rFonts w:ascii="Times New Roman" w:eastAsia="Times New Roman" w:hAnsi="Times New Roman" w:cs="Times New Roman"/>
          <w:b/>
          <w:bCs/>
          <w:i/>
          <w:iCs/>
        </w:rPr>
        <w:t>Agency Building</w:t>
      </w:r>
    </w:p>
    <w:p w14:paraId="03A260EF" w14:textId="34B2AB33" w:rsidR="3B9698AA" w:rsidRDefault="3B9698AA" w:rsidP="639703A0">
      <w:pPr>
        <w:spacing w:line="480" w:lineRule="auto"/>
        <w:rPr>
          <w:rFonts w:ascii="Times New Roman" w:eastAsia="Times New Roman" w:hAnsi="Times New Roman" w:cs="Times New Roman"/>
          <w:b/>
          <w:bCs/>
          <w:color w:val="000004"/>
        </w:rPr>
      </w:pPr>
      <w:r w:rsidRPr="639703A0">
        <w:rPr>
          <w:rFonts w:ascii="Times New Roman" w:eastAsia="Times New Roman" w:hAnsi="Times New Roman" w:cs="Times New Roman"/>
          <w:b/>
          <w:bCs/>
          <w:color w:val="000004"/>
        </w:rPr>
        <w:t xml:space="preserve">How does the community action plan develop learners </w:t>
      </w:r>
      <w:r w:rsidR="12873AED" w:rsidRPr="639703A0">
        <w:rPr>
          <w:rFonts w:ascii="Times New Roman" w:eastAsia="Times New Roman" w:hAnsi="Times New Roman" w:cs="Times New Roman"/>
          <w:b/>
          <w:bCs/>
          <w:color w:val="000004"/>
        </w:rPr>
        <w:t>into community leaders</w:t>
      </w:r>
      <w:r w:rsidRPr="639703A0">
        <w:rPr>
          <w:rFonts w:ascii="Times New Roman" w:eastAsia="Times New Roman" w:hAnsi="Times New Roman" w:cs="Times New Roman"/>
          <w:b/>
          <w:bCs/>
          <w:color w:val="000004"/>
        </w:rPr>
        <w:t>?</w:t>
      </w:r>
    </w:p>
    <w:p w14:paraId="325A3110" w14:textId="01C71B03" w:rsidR="62350353" w:rsidRDefault="62350353" w:rsidP="639703A0">
      <w:pPr>
        <w:spacing w:line="480" w:lineRule="auto"/>
        <w:ind w:firstLine="720"/>
      </w:pPr>
      <w:r w:rsidRPr="639703A0">
        <w:rPr>
          <w:rFonts w:ascii="Times New Roman" w:eastAsia="Times New Roman" w:hAnsi="Times New Roman" w:cs="Times New Roman"/>
        </w:rPr>
        <w:t>Community organizations that support newcomers’ additive acculturation and English language development provide learning opportunities that help youth overcome challenges and feel valued in their new communities. By fostering belonging and rejecting deficit-based views of immigrants and refugees, these organizations model effective approaches to English language development by recognizing and including the identities, languages, experiences, and cultural practices of immigrant and refugee youth (Symons &amp; Ponzio, 2019).</w:t>
      </w:r>
    </w:p>
    <w:p w14:paraId="1FA7C515" w14:textId="0B34F8A2" w:rsidR="3B9698AA" w:rsidRDefault="3B9698AA" w:rsidP="639703A0">
      <w:pPr>
        <w:spacing w:line="480" w:lineRule="auto"/>
        <w:rPr>
          <w:rFonts w:ascii="Times New Roman" w:eastAsia="Times New Roman" w:hAnsi="Times New Roman" w:cs="Times New Roman"/>
          <w:b/>
          <w:bCs/>
          <w:color w:val="000004"/>
        </w:rPr>
      </w:pPr>
      <w:r w:rsidRPr="639703A0">
        <w:rPr>
          <w:rFonts w:ascii="Times New Roman" w:eastAsia="Times New Roman" w:hAnsi="Times New Roman" w:cs="Times New Roman"/>
          <w:b/>
          <w:bCs/>
          <w:color w:val="000004"/>
        </w:rPr>
        <w:t xml:space="preserve">How does the community action plan develop guardians and families </w:t>
      </w:r>
      <w:r w:rsidR="78D1E9EF" w:rsidRPr="639703A0">
        <w:rPr>
          <w:rFonts w:ascii="Times New Roman" w:eastAsia="Times New Roman" w:hAnsi="Times New Roman" w:cs="Times New Roman"/>
          <w:b/>
          <w:bCs/>
          <w:color w:val="000004"/>
        </w:rPr>
        <w:t>into community leaders</w:t>
      </w:r>
      <w:r w:rsidRPr="639703A0">
        <w:rPr>
          <w:rFonts w:ascii="Times New Roman" w:eastAsia="Times New Roman" w:hAnsi="Times New Roman" w:cs="Times New Roman"/>
          <w:b/>
          <w:bCs/>
          <w:color w:val="000004"/>
        </w:rPr>
        <w:t>?</w:t>
      </w:r>
    </w:p>
    <w:p w14:paraId="3DD2C82A" w14:textId="4A817EB7" w:rsidR="4751F185" w:rsidRDefault="4751F185" w:rsidP="639703A0">
      <w:pPr>
        <w:spacing w:before="120" w:after="120" w:line="480" w:lineRule="auto"/>
        <w:ind w:firstLine="720"/>
      </w:pPr>
      <w:r w:rsidRPr="639703A0">
        <w:rPr>
          <w:rFonts w:ascii="Times New Roman" w:eastAsia="Times New Roman" w:hAnsi="Times New Roman" w:cs="Times New Roman"/>
        </w:rPr>
        <w:lastRenderedPageBreak/>
        <w:t>Effectively engaging immigrant parents requires schools to invest in building relationships and adopting pragmatic strategies, such as developing a thorough understanding of families and children and fostering genuine collaboration with parents. This approach contrasts with paternalistic models that dictate parental actions. Recognizing that individualistic, competitive practices prevalent in the United States may conflict with the collectivist, collaborative, and relationship-oriented cultural norms of many immigrant families is an essential first step. Family–school–community partnerships aim to support all students’ success. This discussion uses Epstein’s theory of overlapping spheres of influence (1995) to explain how these partnerships help motivate and support academic achievement (Housel, 2020).</w:t>
      </w:r>
    </w:p>
    <w:p w14:paraId="261BFD91" w14:textId="794F4E7F" w:rsidR="2F15C76E" w:rsidRDefault="2F15C76E" w:rsidP="639703A0">
      <w:pPr>
        <w:spacing w:before="120" w:after="120" w:line="480" w:lineRule="auto"/>
        <w:ind w:firstLine="720"/>
      </w:pPr>
      <w:r w:rsidRPr="639703A0">
        <w:rPr>
          <w:rFonts w:ascii="Times New Roman" w:eastAsia="Times New Roman" w:hAnsi="Times New Roman" w:cs="Times New Roman"/>
        </w:rPr>
        <w:t>Parental involvement is a critical factor in bilingual children's academic success. However, bilingual parents often encounter limited opportunities to engage in English-dominant literacy programs at school. In this context, bilingual family literacy initiatives can give bilingual parents a platform to participate in their children's education alongside other families (Wee, 2020).</w:t>
      </w:r>
    </w:p>
    <w:p w14:paraId="08D5EF4E" w14:textId="040566AF" w:rsidR="3B9698AA" w:rsidRDefault="3B9698AA" w:rsidP="639703A0">
      <w:pPr>
        <w:spacing w:before="120" w:after="120" w:line="480" w:lineRule="auto"/>
      </w:pPr>
      <w:r w:rsidRPr="639703A0">
        <w:rPr>
          <w:rFonts w:ascii="Times New Roman" w:eastAsia="Times New Roman" w:hAnsi="Times New Roman" w:cs="Times New Roman"/>
          <w:b/>
          <w:bCs/>
          <w:color w:val="000004"/>
        </w:rPr>
        <w:t xml:space="preserve">How does the community action plan develop teachers as </w:t>
      </w:r>
      <w:r w:rsidR="5D403E42" w:rsidRPr="639703A0">
        <w:rPr>
          <w:rFonts w:ascii="Times New Roman" w:eastAsia="Times New Roman" w:hAnsi="Times New Roman" w:cs="Times New Roman"/>
          <w:b/>
          <w:bCs/>
          <w:color w:val="000004"/>
        </w:rPr>
        <w:t>community leaders</w:t>
      </w:r>
      <w:r w:rsidRPr="639703A0">
        <w:rPr>
          <w:rFonts w:ascii="Times New Roman" w:eastAsia="Times New Roman" w:hAnsi="Times New Roman" w:cs="Times New Roman"/>
          <w:b/>
          <w:bCs/>
          <w:color w:val="000004"/>
        </w:rPr>
        <w:t>?</w:t>
      </w:r>
    </w:p>
    <w:p w14:paraId="3F1607FE" w14:textId="50920E56" w:rsidR="075A2515" w:rsidRDefault="075A2515" w:rsidP="639703A0">
      <w:pPr>
        <w:spacing w:before="120" w:after="120" w:line="480" w:lineRule="auto"/>
        <w:ind w:firstLine="720"/>
      </w:pPr>
      <w:r w:rsidRPr="639703A0">
        <w:rPr>
          <w:rFonts w:ascii="Times New Roman" w:eastAsia="Times New Roman" w:hAnsi="Times New Roman" w:cs="Times New Roman"/>
        </w:rPr>
        <w:t>Culturally relevant teaching promotes both cultural integrity and academic achievement by meeting three criteria: students achieve academic success, develop or maintain cultural competence, and build critical consciousness to challenge prevailing norms. Effective educators ensure teaching is relevant and responsive to the languages, literacies, and cultural practices of multicultural and multilingual students. Culturally relevant pedagogy (CRP) connects culture, curriculum, home, and school to support student achievement. In these classrooms, students encounter multiple ways to understand and present content. Engaging with diverse perspectives enables students to draw on their strengths and develop new skills (Aghasafari et al., 2021).</w:t>
      </w:r>
    </w:p>
    <w:p w14:paraId="2F8EE5E0" w14:textId="2ECDA1AB" w:rsidR="10352393" w:rsidRDefault="10352393" w:rsidP="639703A0">
      <w:pPr>
        <w:spacing w:before="120" w:after="120" w:line="480" w:lineRule="auto"/>
        <w:ind w:firstLine="720"/>
      </w:pPr>
      <w:r w:rsidRPr="639703A0">
        <w:rPr>
          <w:rFonts w:ascii="Times New Roman" w:eastAsia="Times New Roman" w:hAnsi="Times New Roman" w:cs="Times New Roman"/>
          <w:b/>
          <w:bCs/>
          <w:i/>
          <w:iCs/>
        </w:rPr>
        <w:lastRenderedPageBreak/>
        <w:t>Culturally Sustaining</w:t>
      </w:r>
    </w:p>
    <w:p w14:paraId="275EDF82" w14:textId="64D7BE00" w:rsidR="7563D214" w:rsidRDefault="7563D214" w:rsidP="639703A0">
      <w:pPr>
        <w:shd w:val="clear" w:color="auto" w:fill="FFFFFF" w:themeFill="background1"/>
        <w:spacing w:after="0"/>
      </w:pPr>
      <w:r w:rsidRPr="639703A0">
        <w:rPr>
          <w:rFonts w:ascii="Times New Roman" w:eastAsia="Times New Roman" w:hAnsi="Times New Roman" w:cs="Times New Roman"/>
          <w:b/>
          <w:bCs/>
          <w:color w:val="000004"/>
        </w:rPr>
        <w:t>What specific aspects of the plan validate the culturally sustaining approach?</w:t>
      </w:r>
    </w:p>
    <w:p w14:paraId="5E7679DA" w14:textId="572FC62C" w:rsidR="639703A0" w:rsidRDefault="639703A0" w:rsidP="639703A0">
      <w:pPr>
        <w:shd w:val="clear" w:color="auto" w:fill="FFFFFF" w:themeFill="background1"/>
        <w:spacing w:after="0"/>
        <w:rPr>
          <w:rFonts w:ascii="Times New Roman" w:eastAsia="Times New Roman" w:hAnsi="Times New Roman" w:cs="Times New Roman"/>
          <w:b/>
          <w:bCs/>
          <w:color w:val="000004"/>
        </w:rPr>
      </w:pPr>
    </w:p>
    <w:p w14:paraId="48F38DF6" w14:textId="07DA6B24" w:rsidR="75E4C7E8" w:rsidRDefault="75E4C7E8" w:rsidP="639703A0">
      <w:pPr>
        <w:spacing w:before="120" w:after="120" w:line="480" w:lineRule="auto"/>
        <w:ind w:firstLine="720"/>
      </w:pPr>
      <w:r w:rsidRPr="639703A0">
        <w:rPr>
          <w:rFonts w:ascii="Times New Roman" w:eastAsia="Times New Roman" w:hAnsi="Times New Roman" w:cs="Times New Roman"/>
        </w:rPr>
        <w:t>Demonstrating respect involves recognizing the strength and resilience of immigrant families while actively challenging the misconception that immigrant students’ underachievement results from a lack of parental concern or involvement. Each district should establish English-to-Speakers-of-Other-Languages programs and other community resources to ensure schools welcome all, including immigrants. Schools, staff, and resources should be fully integrated into the community, especially among diverse and immigrant populations. Schools must serve as essential resources, recognizing and respecting immigrant parents as valuable contributors to both the community and the schools (Housel, 2020).</w:t>
      </w:r>
    </w:p>
    <w:p w14:paraId="062AC40D" w14:textId="729A079B" w:rsidR="7563D214" w:rsidRDefault="7563D214" w:rsidP="639703A0">
      <w:pPr>
        <w:shd w:val="clear" w:color="auto" w:fill="FFFFFF" w:themeFill="background1"/>
        <w:spacing w:after="0"/>
      </w:pPr>
      <w:r w:rsidRPr="639703A0">
        <w:rPr>
          <w:rFonts w:ascii="Times New Roman" w:eastAsia="Times New Roman" w:hAnsi="Times New Roman" w:cs="Times New Roman"/>
          <w:b/>
          <w:bCs/>
          <w:color w:val="000004"/>
        </w:rPr>
        <w:t>How does the plan foster a specific community action or civic change?</w:t>
      </w:r>
    </w:p>
    <w:p w14:paraId="2D9FD77F" w14:textId="0F7DC068" w:rsidR="639703A0" w:rsidRDefault="639703A0" w:rsidP="639703A0">
      <w:pPr>
        <w:shd w:val="clear" w:color="auto" w:fill="FFFFFF" w:themeFill="background1"/>
        <w:spacing w:after="0"/>
        <w:rPr>
          <w:rFonts w:ascii="Times New Roman" w:eastAsia="Times New Roman" w:hAnsi="Times New Roman" w:cs="Times New Roman"/>
          <w:b/>
          <w:bCs/>
          <w:color w:val="000004"/>
        </w:rPr>
      </w:pPr>
    </w:p>
    <w:p w14:paraId="056CD548" w14:textId="12316286" w:rsidR="1148AC15" w:rsidRDefault="1148AC15" w:rsidP="639703A0">
      <w:pPr>
        <w:shd w:val="clear" w:color="auto" w:fill="FFFFFF" w:themeFill="background1"/>
        <w:spacing w:after="0" w:line="480" w:lineRule="auto"/>
        <w:ind w:firstLine="720"/>
      </w:pPr>
      <w:r w:rsidRPr="639703A0">
        <w:rPr>
          <w:rFonts w:ascii="Times New Roman" w:eastAsia="Times New Roman" w:hAnsi="Times New Roman" w:cs="Times New Roman"/>
        </w:rPr>
        <w:t xml:space="preserve">To enhance engagement, families, schools, and communities need strong collaborative partnerships. This starts with </w:t>
      </w:r>
      <w:bookmarkStart w:id="1" w:name="_Int_sBA674sj"/>
      <w:r w:rsidRPr="639703A0">
        <w:rPr>
          <w:rFonts w:ascii="Times New Roman" w:eastAsia="Times New Roman" w:hAnsi="Times New Roman" w:cs="Times New Roman"/>
        </w:rPr>
        <w:t>reflecting on</w:t>
      </w:r>
      <w:bookmarkEnd w:id="1"/>
      <w:r w:rsidRPr="639703A0">
        <w:rPr>
          <w:rFonts w:ascii="Times New Roman" w:eastAsia="Times New Roman" w:hAnsi="Times New Roman" w:cs="Times New Roman"/>
        </w:rPr>
        <w:t xml:space="preserve"> institutional barriers or internalized biases that may limit participation. Developing school and community activities allows school personnel, immigrant families, and community members to work together and share resources, capital, and cultural wealth. These collaborations also foster trust, understanding, and empathy by building personal connections among participants. Family literacy programs help parents get more involved in their children’s schools. When schools offer bilingual or family literacy classes for different generations, they encourage parents to participate, support students’ home languages from PreK through high school, and help immigrant parents learn English and understand American culture. Running these programs at school shows that the school values every community member by creating a welcoming space for multilingual immigrant parents and removing obstacles to their involvement in their children’s education. As immigrant parents </w:t>
      </w:r>
      <w:r w:rsidRPr="639703A0">
        <w:rPr>
          <w:rFonts w:ascii="Times New Roman" w:eastAsia="Times New Roman" w:hAnsi="Times New Roman" w:cs="Times New Roman"/>
        </w:rPr>
        <w:lastRenderedPageBreak/>
        <w:t>improve their English, they can participate more easily in the community and access more educational and job opportunities. Supporting home or heritage languages also helps prevent subtractive bilingualism, which can happen when children are moved too quickly into English-only classes (Housel, 2020).</w:t>
      </w:r>
    </w:p>
    <w:p w14:paraId="54B44DA1" w14:textId="40B27E35" w:rsidR="639703A0" w:rsidRDefault="639703A0" w:rsidP="639703A0">
      <w:pPr>
        <w:spacing w:before="120" w:after="120" w:line="480" w:lineRule="auto"/>
        <w:ind w:firstLine="720"/>
        <w:rPr>
          <w:rFonts w:ascii="Times New Roman" w:eastAsia="Times New Roman" w:hAnsi="Times New Roman" w:cs="Times New Roman"/>
          <w:b/>
          <w:bCs/>
          <w:i/>
          <w:iCs/>
        </w:rPr>
      </w:pPr>
    </w:p>
    <w:p w14:paraId="63341DF6" w14:textId="3DFC6C6E" w:rsidR="639703A0" w:rsidRDefault="639703A0" w:rsidP="639703A0">
      <w:pPr>
        <w:spacing w:before="120" w:after="120" w:line="480" w:lineRule="auto"/>
        <w:ind w:firstLine="720"/>
        <w:rPr>
          <w:rFonts w:ascii="Times New Roman" w:eastAsia="Times New Roman" w:hAnsi="Times New Roman" w:cs="Times New Roman"/>
          <w:b/>
          <w:bCs/>
          <w:i/>
          <w:iCs/>
        </w:rPr>
      </w:pPr>
    </w:p>
    <w:p w14:paraId="5BB3DFD1" w14:textId="6398AED2" w:rsidR="639703A0" w:rsidRDefault="639703A0" w:rsidP="639703A0">
      <w:pPr>
        <w:spacing w:before="120" w:after="120" w:line="480" w:lineRule="auto"/>
        <w:rPr>
          <w:rFonts w:ascii="Times New Roman" w:eastAsia="Times New Roman" w:hAnsi="Times New Roman" w:cs="Times New Roman"/>
          <w:b/>
          <w:bCs/>
          <w:color w:val="000004"/>
        </w:rPr>
      </w:pPr>
    </w:p>
    <w:p w14:paraId="3E27EBAD" w14:textId="1C0F5B5A" w:rsidR="639703A0" w:rsidRDefault="639703A0" w:rsidP="639703A0">
      <w:pPr>
        <w:spacing w:before="120" w:after="120" w:line="480" w:lineRule="auto"/>
        <w:rPr>
          <w:rFonts w:ascii="Times New Roman" w:eastAsia="Times New Roman" w:hAnsi="Times New Roman" w:cs="Times New Roman"/>
          <w:b/>
          <w:bCs/>
          <w:i/>
          <w:iCs/>
        </w:rPr>
      </w:pPr>
    </w:p>
    <w:p w14:paraId="274EAAA8" w14:textId="3F68E117" w:rsidR="035C1781" w:rsidRDefault="035C1781" w:rsidP="035C1781">
      <w:pPr>
        <w:spacing w:before="120" w:after="120" w:line="480" w:lineRule="auto"/>
        <w:ind w:firstLine="720"/>
        <w:rPr>
          <w:rFonts w:ascii="Times New Roman" w:eastAsia="Times New Roman" w:hAnsi="Times New Roman" w:cs="Times New Roman"/>
        </w:rPr>
      </w:pPr>
    </w:p>
    <w:p w14:paraId="33CC28C0" w14:textId="6525A80E" w:rsidR="035C1781" w:rsidRDefault="035C1781" w:rsidP="035C1781">
      <w:pPr>
        <w:spacing w:before="120" w:after="120" w:line="480" w:lineRule="auto"/>
        <w:ind w:firstLine="720"/>
        <w:rPr>
          <w:rFonts w:ascii="Times New Roman" w:eastAsia="Times New Roman" w:hAnsi="Times New Roman" w:cs="Times New Roman"/>
        </w:rPr>
      </w:pPr>
    </w:p>
    <w:p w14:paraId="292635D6" w14:textId="4887F59B" w:rsidR="035C1781" w:rsidRDefault="035C1781" w:rsidP="035C1781">
      <w:pPr>
        <w:spacing w:before="120" w:after="120" w:line="480" w:lineRule="auto"/>
        <w:rPr>
          <w:rFonts w:ascii="Times New Roman" w:eastAsia="Times New Roman" w:hAnsi="Times New Roman" w:cs="Times New Roman"/>
        </w:rPr>
      </w:pPr>
    </w:p>
    <w:p w14:paraId="366C584B" w14:textId="08697395" w:rsidR="035C1781" w:rsidRDefault="035C1781" w:rsidP="035C1781">
      <w:pPr>
        <w:jc w:val="center"/>
        <w:rPr>
          <w:rFonts w:ascii="Times New Roman" w:eastAsia="Times New Roman" w:hAnsi="Times New Roman" w:cs="Times New Roman"/>
          <w:b/>
          <w:bCs/>
        </w:rPr>
      </w:pPr>
    </w:p>
    <w:p w14:paraId="20C37581" w14:textId="37CE6642" w:rsidR="639703A0" w:rsidRDefault="639703A0" w:rsidP="639703A0">
      <w:pPr>
        <w:jc w:val="center"/>
        <w:rPr>
          <w:rFonts w:ascii="Times New Roman" w:eastAsia="Times New Roman" w:hAnsi="Times New Roman" w:cs="Times New Roman"/>
          <w:b/>
          <w:bCs/>
        </w:rPr>
      </w:pPr>
    </w:p>
    <w:p w14:paraId="646264E7" w14:textId="7CA05E1D" w:rsidR="639703A0" w:rsidRDefault="639703A0" w:rsidP="639703A0">
      <w:pPr>
        <w:jc w:val="center"/>
        <w:rPr>
          <w:rFonts w:ascii="Times New Roman" w:eastAsia="Times New Roman" w:hAnsi="Times New Roman" w:cs="Times New Roman"/>
          <w:b/>
          <w:bCs/>
        </w:rPr>
      </w:pPr>
    </w:p>
    <w:p w14:paraId="280D4618" w14:textId="5CAF57C3" w:rsidR="639703A0" w:rsidRDefault="639703A0" w:rsidP="639703A0">
      <w:pPr>
        <w:jc w:val="center"/>
        <w:rPr>
          <w:rFonts w:ascii="Times New Roman" w:eastAsia="Times New Roman" w:hAnsi="Times New Roman" w:cs="Times New Roman"/>
          <w:b/>
          <w:bCs/>
        </w:rPr>
      </w:pPr>
    </w:p>
    <w:p w14:paraId="02EA1F27" w14:textId="67A1502B" w:rsidR="639703A0" w:rsidRDefault="639703A0" w:rsidP="639703A0">
      <w:pPr>
        <w:jc w:val="center"/>
        <w:rPr>
          <w:rFonts w:ascii="Times New Roman" w:eastAsia="Times New Roman" w:hAnsi="Times New Roman" w:cs="Times New Roman"/>
          <w:b/>
          <w:bCs/>
        </w:rPr>
      </w:pPr>
    </w:p>
    <w:p w14:paraId="03EBA562" w14:textId="4A8A15DA" w:rsidR="639703A0" w:rsidRDefault="639703A0" w:rsidP="639703A0">
      <w:pPr>
        <w:jc w:val="center"/>
        <w:rPr>
          <w:rFonts w:ascii="Times New Roman" w:eastAsia="Times New Roman" w:hAnsi="Times New Roman" w:cs="Times New Roman"/>
          <w:b/>
          <w:bCs/>
        </w:rPr>
      </w:pPr>
    </w:p>
    <w:p w14:paraId="7712C5CE" w14:textId="2FAF93C3" w:rsidR="639703A0" w:rsidRDefault="639703A0" w:rsidP="639703A0">
      <w:pPr>
        <w:jc w:val="center"/>
        <w:rPr>
          <w:rFonts w:ascii="Times New Roman" w:eastAsia="Times New Roman" w:hAnsi="Times New Roman" w:cs="Times New Roman"/>
          <w:b/>
          <w:bCs/>
        </w:rPr>
      </w:pPr>
    </w:p>
    <w:p w14:paraId="5AED4F08" w14:textId="40FD2A1E" w:rsidR="639703A0" w:rsidRDefault="639703A0" w:rsidP="639703A0">
      <w:pPr>
        <w:jc w:val="center"/>
        <w:rPr>
          <w:rFonts w:ascii="Times New Roman" w:eastAsia="Times New Roman" w:hAnsi="Times New Roman" w:cs="Times New Roman"/>
          <w:b/>
          <w:bCs/>
        </w:rPr>
      </w:pPr>
    </w:p>
    <w:p w14:paraId="34D2C6B4" w14:textId="77777777" w:rsidR="00C70286" w:rsidRDefault="00C70286" w:rsidP="035C1781">
      <w:pPr>
        <w:jc w:val="center"/>
        <w:rPr>
          <w:rFonts w:ascii="Times New Roman" w:eastAsia="Times New Roman" w:hAnsi="Times New Roman" w:cs="Times New Roman"/>
          <w:b/>
          <w:bCs/>
        </w:rPr>
      </w:pPr>
    </w:p>
    <w:p w14:paraId="2F62DEF0" w14:textId="77777777" w:rsidR="00C70286" w:rsidRDefault="00C70286" w:rsidP="035C1781">
      <w:pPr>
        <w:jc w:val="center"/>
        <w:rPr>
          <w:rFonts w:ascii="Times New Roman" w:eastAsia="Times New Roman" w:hAnsi="Times New Roman" w:cs="Times New Roman"/>
          <w:b/>
          <w:bCs/>
        </w:rPr>
      </w:pPr>
    </w:p>
    <w:p w14:paraId="0D1CF2D3" w14:textId="77777777" w:rsidR="00C70286" w:rsidRDefault="00C70286" w:rsidP="035C1781">
      <w:pPr>
        <w:jc w:val="center"/>
        <w:rPr>
          <w:rFonts w:ascii="Times New Roman" w:eastAsia="Times New Roman" w:hAnsi="Times New Roman" w:cs="Times New Roman"/>
          <w:b/>
          <w:bCs/>
        </w:rPr>
      </w:pPr>
    </w:p>
    <w:p w14:paraId="4836FE97" w14:textId="77777777" w:rsidR="00C70286" w:rsidRDefault="00C70286" w:rsidP="035C1781">
      <w:pPr>
        <w:jc w:val="center"/>
        <w:rPr>
          <w:rFonts w:ascii="Times New Roman" w:eastAsia="Times New Roman" w:hAnsi="Times New Roman" w:cs="Times New Roman"/>
          <w:b/>
          <w:bCs/>
        </w:rPr>
      </w:pPr>
    </w:p>
    <w:p w14:paraId="274E4543" w14:textId="2A9C4605" w:rsidR="00CC8947" w:rsidRDefault="738EAD9E" w:rsidP="035C1781">
      <w:pPr>
        <w:jc w:val="center"/>
      </w:pPr>
      <w:r w:rsidRPr="639703A0">
        <w:rPr>
          <w:rFonts w:ascii="Times New Roman" w:eastAsia="Times New Roman" w:hAnsi="Times New Roman" w:cs="Times New Roman"/>
          <w:b/>
          <w:bCs/>
        </w:rPr>
        <w:lastRenderedPageBreak/>
        <w:t>References</w:t>
      </w:r>
    </w:p>
    <w:p w14:paraId="17DC26F3" w14:textId="13856441" w:rsidR="72C78A38" w:rsidRDefault="72C78A38" w:rsidP="035C1781">
      <w:pPr>
        <w:spacing w:before="120" w:after="120" w:line="480" w:lineRule="auto"/>
        <w:ind w:left="720" w:hanging="720"/>
      </w:pPr>
      <w:r w:rsidRPr="035C1781">
        <w:rPr>
          <w:rFonts w:ascii="Times New Roman" w:eastAsia="Times New Roman" w:hAnsi="Times New Roman" w:cs="Times New Roman"/>
        </w:rPr>
        <w:t xml:space="preserve">Aghasafari, S., Bivins, K., &amp; Nordgren, B. (2021). Arts integration and culturally sustaining pedagogy: Supporting bi/multilingual high school learners in biology. </w:t>
      </w:r>
      <w:r w:rsidRPr="035C1781">
        <w:rPr>
          <w:rFonts w:ascii="Times New Roman" w:eastAsia="Times New Roman" w:hAnsi="Times New Roman" w:cs="Times New Roman"/>
          <w:i/>
          <w:iCs/>
        </w:rPr>
        <w:t>Journal of Interdisciplinary Studies in Education</w:t>
      </w:r>
      <w:r w:rsidRPr="035C1781">
        <w:rPr>
          <w:rFonts w:ascii="Times New Roman" w:eastAsia="Times New Roman" w:hAnsi="Times New Roman" w:cs="Times New Roman"/>
        </w:rPr>
        <w:t xml:space="preserve">, </w:t>
      </w:r>
      <w:r w:rsidRPr="035C1781">
        <w:rPr>
          <w:rFonts w:ascii="Times New Roman" w:eastAsia="Times New Roman" w:hAnsi="Times New Roman" w:cs="Times New Roman"/>
          <w:i/>
          <w:iCs/>
        </w:rPr>
        <w:t>10</w:t>
      </w:r>
      <w:r w:rsidRPr="035C1781">
        <w:rPr>
          <w:rFonts w:ascii="Times New Roman" w:eastAsia="Times New Roman" w:hAnsi="Times New Roman" w:cs="Times New Roman"/>
        </w:rPr>
        <w:t>(1), 59–81.</w:t>
      </w:r>
    </w:p>
    <w:p w14:paraId="292D9476" w14:textId="15FCBA79" w:rsidR="29BF6E4D" w:rsidRDefault="29BF6E4D" w:rsidP="035C1781">
      <w:pPr>
        <w:spacing w:before="120" w:after="120" w:line="480" w:lineRule="auto"/>
        <w:ind w:left="720" w:hanging="720"/>
      </w:pPr>
      <w:r w:rsidRPr="035C1781">
        <w:rPr>
          <w:rFonts w:ascii="Times New Roman" w:eastAsia="Times New Roman" w:hAnsi="Times New Roman" w:cs="Times New Roman"/>
        </w:rPr>
        <w:t xml:space="preserve">Housel, D. A. (2020). Supporting the engagement and participation of multicultural, multilingual immigrant families in public education in the United States: Some practical strategies. </w:t>
      </w:r>
      <w:r w:rsidRPr="035C1781">
        <w:rPr>
          <w:rFonts w:ascii="Times New Roman" w:eastAsia="Times New Roman" w:hAnsi="Times New Roman" w:cs="Times New Roman"/>
          <w:i/>
          <w:iCs/>
        </w:rPr>
        <w:t>School Community Journal</w:t>
      </w:r>
      <w:r w:rsidRPr="035C1781">
        <w:rPr>
          <w:rFonts w:ascii="Times New Roman" w:eastAsia="Times New Roman" w:hAnsi="Times New Roman" w:cs="Times New Roman"/>
        </w:rPr>
        <w:t xml:space="preserve">, </w:t>
      </w:r>
      <w:r w:rsidRPr="035C1781">
        <w:rPr>
          <w:rFonts w:ascii="Times New Roman" w:eastAsia="Times New Roman" w:hAnsi="Times New Roman" w:cs="Times New Roman"/>
          <w:i/>
          <w:iCs/>
        </w:rPr>
        <w:t>30</w:t>
      </w:r>
      <w:r w:rsidRPr="035C1781">
        <w:rPr>
          <w:rFonts w:ascii="Times New Roman" w:eastAsia="Times New Roman" w:hAnsi="Times New Roman" w:cs="Times New Roman"/>
        </w:rPr>
        <w:t>(2), 185–209.</w:t>
      </w:r>
    </w:p>
    <w:p w14:paraId="4C8F3DDA" w14:textId="3B214EE2" w:rsidR="71E5660C" w:rsidRDefault="71E5660C" w:rsidP="035C1781">
      <w:pPr>
        <w:spacing w:before="120" w:after="120" w:line="480" w:lineRule="auto"/>
        <w:ind w:left="720" w:hanging="720"/>
        <w:rPr>
          <w:rFonts w:ascii="Times New Roman" w:eastAsia="Times New Roman" w:hAnsi="Times New Roman" w:cs="Times New Roman"/>
        </w:rPr>
      </w:pPr>
      <w:r w:rsidRPr="035C1781">
        <w:rPr>
          <w:rFonts w:ascii="Times New Roman" w:eastAsia="Times New Roman" w:hAnsi="Times New Roman" w:cs="Times New Roman"/>
        </w:rPr>
        <w:t xml:space="preserve">Lockhart, K., &amp; Mun, R. U. (2020). Developing a strong home–school connection to better identify and serve culturally, linguistically, and economically diverse gifted and talented students. </w:t>
      </w:r>
      <w:r w:rsidRPr="035C1781">
        <w:rPr>
          <w:rFonts w:ascii="Times New Roman" w:eastAsia="Times New Roman" w:hAnsi="Times New Roman" w:cs="Times New Roman"/>
          <w:i/>
          <w:iCs/>
        </w:rPr>
        <w:t>Gifted Child Today Magazine</w:t>
      </w:r>
      <w:r w:rsidRPr="035C1781">
        <w:rPr>
          <w:rFonts w:ascii="Times New Roman" w:eastAsia="Times New Roman" w:hAnsi="Times New Roman" w:cs="Times New Roman"/>
        </w:rPr>
        <w:t xml:space="preserve">, </w:t>
      </w:r>
      <w:r w:rsidRPr="035C1781">
        <w:rPr>
          <w:rFonts w:ascii="Times New Roman" w:eastAsia="Times New Roman" w:hAnsi="Times New Roman" w:cs="Times New Roman"/>
          <w:i/>
          <w:iCs/>
        </w:rPr>
        <w:t>43</w:t>
      </w:r>
      <w:r w:rsidRPr="035C1781">
        <w:rPr>
          <w:rFonts w:ascii="Times New Roman" w:eastAsia="Times New Roman" w:hAnsi="Times New Roman" w:cs="Times New Roman"/>
        </w:rPr>
        <w:t xml:space="preserve">(4), 231–238. </w:t>
      </w:r>
      <w:hyperlink r:id="rId5">
        <w:r w:rsidRPr="035C1781">
          <w:rPr>
            <w:rStyle w:val="Hyperlink"/>
            <w:rFonts w:ascii="Times New Roman" w:eastAsia="Times New Roman" w:hAnsi="Times New Roman" w:cs="Times New Roman"/>
          </w:rPr>
          <w:t>https://doi.org/10.1177/1076217520940743</w:t>
        </w:r>
      </w:hyperlink>
    </w:p>
    <w:p w14:paraId="561C64EF" w14:textId="349C0331" w:rsidR="00CC8947" w:rsidRDefault="00CC8947" w:rsidP="035C1781">
      <w:pPr>
        <w:spacing w:before="120" w:after="120"/>
      </w:pPr>
      <w:r w:rsidRPr="035C1781">
        <w:rPr>
          <w:rFonts w:ascii="Times New Roman" w:eastAsia="Times New Roman" w:hAnsi="Times New Roman" w:cs="Times New Roman"/>
        </w:rPr>
        <w:t>Symons, C., &amp; Ponzio, C. (2019). Schools cannot do it alone: A community-based approach to</w:t>
      </w:r>
    </w:p>
    <w:p w14:paraId="1FC875BD" w14:textId="4CA838B9" w:rsidR="00CC8947" w:rsidRDefault="00CC8947" w:rsidP="035C1781">
      <w:pPr>
        <w:spacing w:before="120" w:after="120" w:line="480" w:lineRule="auto"/>
        <w:ind w:left="720" w:hanging="720"/>
      </w:pPr>
      <w:r w:rsidRPr="035C1781">
        <w:rPr>
          <w:rFonts w:ascii="Times New Roman" w:eastAsia="Times New Roman" w:hAnsi="Times New Roman" w:cs="Times New Roman"/>
        </w:rPr>
        <w:t xml:space="preserve"> </w:t>
      </w:r>
      <w:r w:rsidR="718B608E" w:rsidRPr="035C1781">
        <w:rPr>
          <w:rFonts w:ascii="Times New Roman" w:eastAsia="Times New Roman" w:hAnsi="Times New Roman" w:cs="Times New Roman"/>
        </w:rPr>
        <w:t xml:space="preserve">       </w:t>
      </w:r>
      <w:r w:rsidRPr="035C1781">
        <w:rPr>
          <w:rFonts w:ascii="Times New Roman" w:eastAsia="Times New Roman" w:hAnsi="Times New Roman" w:cs="Times New Roman"/>
        </w:rPr>
        <w:t xml:space="preserve">refugee youth’s language development. </w:t>
      </w:r>
      <w:r w:rsidRPr="035C1781">
        <w:rPr>
          <w:rFonts w:ascii="Times New Roman" w:eastAsia="Times New Roman" w:hAnsi="Times New Roman" w:cs="Times New Roman"/>
          <w:i/>
          <w:iCs/>
        </w:rPr>
        <w:t>Journal of Research in Childhood Education</w:t>
      </w:r>
      <w:r w:rsidRPr="035C1781">
        <w:rPr>
          <w:rFonts w:ascii="Times New Roman" w:eastAsia="Times New Roman" w:hAnsi="Times New Roman" w:cs="Times New Roman"/>
        </w:rPr>
        <w:t xml:space="preserve">, </w:t>
      </w:r>
      <w:r w:rsidRPr="035C1781">
        <w:rPr>
          <w:rFonts w:ascii="Times New Roman" w:eastAsia="Times New Roman" w:hAnsi="Times New Roman" w:cs="Times New Roman"/>
          <w:i/>
          <w:iCs/>
        </w:rPr>
        <w:t>33</w:t>
      </w:r>
      <w:r w:rsidRPr="035C1781">
        <w:rPr>
          <w:rFonts w:ascii="Times New Roman" w:eastAsia="Times New Roman" w:hAnsi="Times New Roman" w:cs="Times New Roman"/>
        </w:rPr>
        <w:t>(1),</w:t>
      </w:r>
    </w:p>
    <w:p w14:paraId="5BAC02FE" w14:textId="4364AAAE" w:rsidR="0E97862F" w:rsidRDefault="738EAD9E" w:rsidP="639703A0">
      <w:pPr>
        <w:spacing w:before="120" w:after="120" w:line="480" w:lineRule="auto"/>
        <w:ind w:left="720" w:hanging="720"/>
      </w:pPr>
      <w:r w:rsidRPr="639703A0">
        <w:rPr>
          <w:rFonts w:ascii="Times New Roman" w:eastAsia="Times New Roman" w:hAnsi="Times New Roman" w:cs="Times New Roman"/>
        </w:rPr>
        <w:t xml:space="preserve"> </w:t>
      </w:r>
      <w:r w:rsidR="42D2087C" w:rsidRPr="639703A0">
        <w:rPr>
          <w:rFonts w:ascii="Times New Roman" w:eastAsia="Times New Roman" w:hAnsi="Times New Roman" w:cs="Times New Roman"/>
        </w:rPr>
        <w:t xml:space="preserve">       </w:t>
      </w:r>
      <w:r w:rsidRPr="639703A0">
        <w:rPr>
          <w:rFonts w:ascii="Times New Roman" w:eastAsia="Times New Roman" w:hAnsi="Times New Roman" w:cs="Times New Roman"/>
          <w:color w:val="000000" w:themeColor="text1"/>
        </w:rPr>
        <w:t xml:space="preserve">98–118. </w:t>
      </w:r>
      <w:hyperlink r:id="rId6">
        <w:r w:rsidRPr="639703A0">
          <w:rPr>
            <w:rStyle w:val="Hyperlink"/>
            <w:rFonts w:ascii="Times New Roman" w:eastAsia="Times New Roman" w:hAnsi="Times New Roman" w:cs="Times New Roman"/>
            <w:color w:val="000000" w:themeColor="text1"/>
            <w:u w:val="none"/>
          </w:rPr>
          <w:t>https://doi.org/10.1080/02568543.2018.1531450</w:t>
        </w:r>
      </w:hyperlink>
    </w:p>
    <w:p w14:paraId="38C65169" w14:textId="16E6533A" w:rsidR="0E97862F" w:rsidRDefault="4BE03268" w:rsidP="639703A0">
      <w:pPr>
        <w:spacing w:before="120" w:after="120" w:line="480" w:lineRule="auto"/>
        <w:ind w:left="720" w:hanging="720"/>
        <w:rPr>
          <w:rFonts w:ascii="Times New Roman" w:eastAsia="Times New Roman" w:hAnsi="Times New Roman" w:cs="Times New Roman"/>
          <w:color w:val="000000" w:themeColor="text1"/>
        </w:rPr>
      </w:pPr>
      <w:r w:rsidRPr="639703A0">
        <w:rPr>
          <w:rFonts w:ascii="Times New Roman" w:eastAsia="Times New Roman" w:hAnsi="Times New Roman" w:cs="Times New Roman"/>
          <w:color w:val="000000" w:themeColor="text1"/>
        </w:rPr>
        <w:t xml:space="preserve">U.S. Census Bureau. (2026). QuickFacts: Hopewell City, Virginia. </w:t>
      </w:r>
      <w:hyperlink r:id="rId7">
        <w:r w:rsidRPr="639703A0">
          <w:rPr>
            <w:rStyle w:val="Hyperlink"/>
            <w:rFonts w:ascii="Times New Roman" w:eastAsia="Times New Roman" w:hAnsi="Times New Roman" w:cs="Times New Roman"/>
            <w:color w:val="000000" w:themeColor="text1"/>
            <w:u w:val="none"/>
          </w:rPr>
          <w:t>https://www.census.gov/quickfacts/hopewellcityvirginia</w:t>
        </w:r>
      </w:hyperlink>
    </w:p>
    <w:p w14:paraId="51DB522B" w14:textId="39DD1AAA" w:rsidR="0E97862F" w:rsidRDefault="3C9E6988" w:rsidP="639703A0">
      <w:pPr>
        <w:spacing w:before="120" w:after="120" w:line="480" w:lineRule="auto"/>
        <w:ind w:left="720" w:hanging="720"/>
        <w:rPr>
          <w:rFonts w:ascii="Times New Roman" w:eastAsia="Times New Roman" w:hAnsi="Times New Roman" w:cs="Times New Roman"/>
          <w:color w:val="000000" w:themeColor="text1"/>
        </w:rPr>
      </w:pPr>
      <w:r w:rsidRPr="639703A0">
        <w:rPr>
          <w:rFonts w:ascii="Times New Roman" w:eastAsia="Times New Roman" w:hAnsi="Times New Roman" w:cs="Times New Roman"/>
          <w:color w:val="000000" w:themeColor="text1"/>
        </w:rPr>
        <w:t xml:space="preserve">Wee, J. (2020). The role of parents in community </w:t>
      </w:r>
      <w:proofErr w:type="gramStart"/>
      <w:r w:rsidR="330486CA" w:rsidRPr="639703A0">
        <w:rPr>
          <w:rFonts w:ascii="Times New Roman" w:eastAsia="Times New Roman" w:hAnsi="Times New Roman" w:cs="Times New Roman"/>
          <w:color w:val="000000" w:themeColor="text1"/>
        </w:rPr>
        <w:t>Korean</w:t>
      </w:r>
      <w:r w:rsidR="5C157AE7" w:rsidRPr="639703A0">
        <w:rPr>
          <w:rFonts w:ascii="Times New Roman" w:eastAsia="Times New Roman" w:hAnsi="Times New Roman" w:cs="Times New Roman"/>
          <w:color w:val="000000" w:themeColor="text1"/>
        </w:rPr>
        <w:t>-</w:t>
      </w:r>
      <w:r w:rsidR="330486CA" w:rsidRPr="639703A0">
        <w:rPr>
          <w:rFonts w:ascii="Times New Roman" w:eastAsia="Times New Roman" w:hAnsi="Times New Roman" w:cs="Times New Roman"/>
          <w:color w:val="000000" w:themeColor="text1"/>
        </w:rPr>
        <w:t>English</w:t>
      </w:r>
      <w:proofErr w:type="gramEnd"/>
      <w:r w:rsidRPr="639703A0">
        <w:rPr>
          <w:rFonts w:ascii="Times New Roman" w:eastAsia="Times New Roman" w:hAnsi="Times New Roman" w:cs="Times New Roman"/>
          <w:color w:val="000000" w:themeColor="text1"/>
        </w:rPr>
        <w:t xml:space="preserve"> bilingual family literacy.</w:t>
      </w:r>
    </w:p>
    <w:p w14:paraId="46F46017" w14:textId="37B696C5" w:rsidR="0E97862F" w:rsidRDefault="3C9E6988" w:rsidP="035C1781">
      <w:pPr>
        <w:spacing w:before="120" w:after="120" w:line="480" w:lineRule="auto"/>
        <w:ind w:left="720" w:hanging="720"/>
      </w:pPr>
      <w:r w:rsidRPr="639703A0">
        <w:rPr>
          <w:rFonts w:ascii="Times New Roman" w:eastAsia="Times New Roman" w:hAnsi="Times New Roman" w:cs="Times New Roman"/>
          <w:color w:val="000000" w:themeColor="text1"/>
        </w:rPr>
        <w:t xml:space="preserve">       </w:t>
      </w:r>
      <w:r w:rsidRPr="639703A0">
        <w:rPr>
          <w:rFonts w:ascii="Times New Roman" w:eastAsia="Times New Roman" w:hAnsi="Times New Roman" w:cs="Times New Roman"/>
          <w:i/>
          <w:iCs/>
          <w:color w:val="000000" w:themeColor="text1"/>
        </w:rPr>
        <w:t>Reading Teacher</w:t>
      </w:r>
      <w:r w:rsidRPr="639703A0">
        <w:rPr>
          <w:rFonts w:ascii="Times New Roman" w:eastAsia="Times New Roman" w:hAnsi="Times New Roman" w:cs="Times New Roman"/>
          <w:color w:val="000000" w:themeColor="text1"/>
        </w:rPr>
        <w:t xml:space="preserve">, </w:t>
      </w:r>
      <w:r w:rsidRPr="639703A0">
        <w:rPr>
          <w:rFonts w:ascii="Times New Roman" w:eastAsia="Times New Roman" w:hAnsi="Times New Roman" w:cs="Times New Roman"/>
          <w:i/>
          <w:iCs/>
          <w:color w:val="000000" w:themeColor="text1"/>
        </w:rPr>
        <w:t>74</w:t>
      </w:r>
      <w:r w:rsidRPr="639703A0">
        <w:rPr>
          <w:rFonts w:ascii="Times New Roman" w:eastAsia="Times New Roman" w:hAnsi="Times New Roman" w:cs="Times New Roman"/>
          <w:color w:val="000000" w:themeColor="text1"/>
        </w:rPr>
        <w:t xml:space="preserve">(3), 330–334. </w:t>
      </w:r>
      <w:hyperlink r:id="rId8">
        <w:r w:rsidRPr="639703A0">
          <w:rPr>
            <w:rStyle w:val="Hyperlink"/>
            <w:rFonts w:ascii="Times New Roman" w:eastAsia="Times New Roman" w:hAnsi="Times New Roman" w:cs="Times New Roman"/>
            <w:color w:val="000000" w:themeColor="text1"/>
            <w:u w:val="none"/>
          </w:rPr>
          <w:t>https://doi.org/10.1002/trtr.1956</w:t>
        </w:r>
      </w:hyperlink>
    </w:p>
    <w:p w14:paraId="6B196587" w14:textId="68C85716" w:rsidR="639703A0" w:rsidRDefault="639703A0" w:rsidP="639703A0">
      <w:pPr>
        <w:spacing w:before="120" w:after="120" w:line="480" w:lineRule="auto"/>
        <w:ind w:left="720" w:hanging="720"/>
        <w:rPr>
          <w:rFonts w:ascii="Times New Roman" w:eastAsia="Times New Roman" w:hAnsi="Times New Roman" w:cs="Times New Roman"/>
          <w:color w:val="000000" w:themeColor="text1"/>
        </w:rPr>
      </w:pPr>
    </w:p>
    <w:p w14:paraId="2289D860" w14:textId="6A01ED66" w:rsidR="639703A0" w:rsidRDefault="639703A0" w:rsidP="639703A0">
      <w:pPr>
        <w:spacing w:before="120" w:after="120" w:line="480" w:lineRule="auto"/>
        <w:ind w:left="720" w:hanging="720"/>
        <w:rPr>
          <w:rFonts w:ascii="Times New Roman" w:eastAsia="Times New Roman" w:hAnsi="Times New Roman" w:cs="Times New Roman"/>
          <w:color w:val="000000" w:themeColor="text1"/>
        </w:rPr>
      </w:pPr>
    </w:p>
    <w:p w14:paraId="49AEC53D" w14:textId="6D5A98CD" w:rsidR="035C1781" w:rsidRDefault="035C1781" w:rsidP="035C1781">
      <w:pPr>
        <w:spacing w:before="120" w:after="120" w:line="480" w:lineRule="auto"/>
        <w:ind w:left="720" w:hanging="720"/>
        <w:rPr>
          <w:rFonts w:ascii="Times New Roman" w:eastAsia="Times New Roman" w:hAnsi="Times New Roman" w:cs="Times New Roman"/>
        </w:rPr>
      </w:pPr>
    </w:p>
    <w:p w14:paraId="492B3BBF" w14:textId="04F8FE51" w:rsidR="035C1781" w:rsidRDefault="035C1781" w:rsidP="035C1781">
      <w:pPr>
        <w:spacing w:before="120" w:after="120"/>
      </w:pPr>
    </w:p>
    <w:p w14:paraId="02A78682" w14:textId="10D7DA8E" w:rsidR="035C1781" w:rsidRDefault="035C1781" w:rsidP="035C1781">
      <w:pPr>
        <w:spacing w:before="120" w:after="120" w:line="480" w:lineRule="auto"/>
        <w:ind w:left="720" w:hanging="720"/>
        <w:rPr>
          <w:rFonts w:ascii="Times New Roman" w:eastAsia="Times New Roman" w:hAnsi="Times New Roman" w:cs="Times New Roman"/>
        </w:rPr>
      </w:pPr>
    </w:p>
    <w:p w14:paraId="488DD0A0" w14:textId="17D78732" w:rsidR="035C1781" w:rsidRDefault="035C1781" w:rsidP="035C1781">
      <w:pPr>
        <w:spacing w:before="120" w:after="120"/>
        <w:rPr>
          <w:rFonts w:ascii="Times New Roman" w:eastAsia="Times New Roman" w:hAnsi="Times New Roman" w:cs="Times New Roman"/>
        </w:rPr>
      </w:pPr>
    </w:p>
    <w:p w14:paraId="13685F48" w14:textId="488C1B85" w:rsidR="035C1781" w:rsidRDefault="035C1781" w:rsidP="035C1781">
      <w:pPr>
        <w:rPr>
          <w:rFonts w:ascii="Times New Roman" w:eastAsia="Times New Roman" w:hAnsi="Times New Roman" w:cs="Times New Roman"/>
          <w:b/>
          <w:bCs/>
        </w:rPr>
      </w:pPr>
    </w:p>
    <w:p w14:paraId="14763BEE" w14:textId="2F4D0F76" w:rsidR="035C1781" w:rsidRDefault="035C1781" w:rsidP="035C1781">
      <w:pPr>
        <w:jc w:val="center"/>
        <w:rPr>
          <w:rFonts w:ascii="Times New Roman" w:eastAsia="Times New Roman" w:hAnsi="Times New Roman" w:cs="Times New Roman"/>
        </w:rPr>
      </w:pPr>
    </w:p>
    <w:p w14:paraId="31D2352D" w14:textId="34487919" w:rsidR="035C1781" w:rsidRDefault="035C1781" w:rsidP="035C1781">
      <w:pPr>
        <w:jc w:val="center"/>
        <w:rPr>
          <w:rFonts w:ascii="Times New Roman" w:eastAsia="Times New Roman" w:hAnsi="Times New Roman" w:cs="Times New Roman"/>
        </w:rPr>
      </w:pPr>
    </w:p>
    <w:p w14:paraId="56A308D7" w14:textId="3596A875" w:rsidR="035C1781" w:rsidRDefault="035C1781" w:rsidP="035C1781">
      <w:pPr>
        <w:jc w:val="center"/>
        <w:rPr>
          <w:rFonts w:ascii="Times New Roman" w:eastAsia="Times New Roman" w:hAnsi="Times New Roman" w:cs="Times New Roman"/>
        </w:rPr>
      </w:pPr>
    </w:p>
    <w:p w14:paraId="703AA708" w14:textId="62F3F38B" w:rsidR="035C1781" w:rsidRDefault="035C1781" w:rsidP="035C1781">
      <w:pPr>
        <w:jc w:val="center"/>
        <w:rPr>
          <w:rFonts w:ascii="Times New Roman" w:eastAsia="Times New Roman" w:hAnsi="Times New Roman" w:cs="Times New Roman"/>
        </w:rPr>
      </w:pPr>
    </w:p>
    <w:p w14:paraId="4527DA76" w14:textId="3EA3F1A8" w:rsidR="035C1781" w:rsidRDefault="035C1781" w:rsidP="035C1781">
      <w:pPr>
        <w:jc w:val="center"/>
        <w:rPr>
          <w:rFonts w:ascii="Times New Roman" w:eastAsia="Times New Roman" w:hAnsi="Times New Roman" w:cs="Times New Roman"/>
        </w:rPr>
      </w:pPr>
    </w:p>
    <w:p w14:paraId="3CCBDFA4" w14:textId="731D1715" w:rsidR="035C1781" w:rsidRDefault="035C1781" w:rsidP="035C1781">
      <w:pPr>
        <w:jc w:val="center"/>
        <w:rPr>
          <w:rFonts w:ascii="Times New Roman" w:eastAsia="Times New Roman" w:hAnsi="Times New Roman" w:cs="Times New Roman"/>
        </w:rPr>
      </w:pPr>
    </w:p>
    <w:p w14:paraId="7EFC2E8A" w14:textId="06AEEE89" w:rsidR="035C1781" w:rsidRDefault="035C1781" w:rsidP="035C1781">
      <w:pPr>
        <w:jc w:val="center"/>
        <w:rPr>
          <w:rFonts w:ascii="Times New Roman" w:eastAsia="Times New Roman" w:hAnsi="Times New Roman" w:cs="Times New Roman"/>
        </w:rPr>
      </w:pPr>
    </w:p>
    <w:p w14:paraId="240A0503" w14:textId="1A37452A" w:rsidR="035C1781" w:rsidRDefault="035C1781" w:rsidP="035C1781">
      <w:pPr>
        <w:jc w:val="center"/>
        <w:rPr>
          <w:rFonts w:ascii="Times New Roman" w:eastAsia="Times New Roman" w:hAnsi="Times New Roman" w:cs="Times New Roman"/>
        </w:rPr>
      </w:pPr>
    </w:p>
    <w:p w14:paraId="202D06F4" w14:textId="0AD61285" w:rsidR="035C1781" w:rsidRDefault="035C1781" w:rsidP="035C1781">
      <w:pPr>
        <w:jc w:val="center"/>
        <w:rPr>
          <w:rFonts w:ascii="Times New Roman" w:eastAsia="Times New Roman" w:hAnsi="Times New Roman" w:cs="Times New Roman"/>
        </w:rPr>
      </w:pPr>
    </w:p>
    <w:p w14:paraId="626ABA77" w14:textId="0235E03A" w:rsidR="035C1781" w:rsidRDefault="035C1781" w:rsidP="035C1781">
      <w:pPr>
        <w:jc w:val="center"/>
        <w:rPr>
          <w:rFonts w:ascii="Times New Roman" w:eastAsia="Times New Roman" w:hAnsi="Times New Roman" w:cs="Times New Roman"/>
        </w:rPr>
      </w:pPr>
    </w:p>
    <w:p w14:paraId="0AC0711F" w14:textId="423F05EF" w:rsidR="035C1781" w:rsidRDefault="035C1781" w:rsidP="035C1781">
      <w:pPr>
        <w:jc w:val="center"/>
        <w:rPr>
          <w:rFonts w:ascii="Times New Roman" w:eastAsia="Times New Roman" w:hAnsi="Times New Roman" w:cs="Times New Roman"/>
        </w:rPr>
      </w:pPr>
    </w:p>
    <w:p w14:paraId="5069743C" w14:textId="7F8E016B" w:rsidR="035C1781" w:rsidRDefault="035C1781" w:rsidP="035C1781">
      <w:pPr>
        <w:jc w:val="center"/>
        <w:rPr>
          <w:rFonts w:ascii="Times New Roman" w:eastAsia="Times New Roman" w:hAnsi="Times New Roman" w:cs="Times New Roman"/>
        </w:rPr>
      </w:pPr>
    </w:p>
    <w:p w14:paraId="69C817FD" w14:textId="79376473" w:rsidR="035C1781" w:rsidRDefault="035C1781" w:rsidP="035C1781">
      <w:pPr>
        <w:jc w:val="center"/>
        <w:rPr>
          <w:rFonts w:ascii="Times New Roman" w:eastAsia="Times New Roman" w:hAnsi="Times New Roman" w:cs="Times New Roman"/>
        </w:rPr>
      </w:pPr>
    </w:p>
    <w:p w14:paraId="323434E2" w14:textId="0F38967D" w:rsidR="035C1781" w:rsidRDefault="035C1781" w:rsidP="035C1781">
      <w:pPr>
        <w:jc w:val="center"/>
        <w:rPr>
          <w:rFonts w:ascii="Times New Roman" w:eastAsia="Times New Roman" w:hAnsi="Times New Roman" w:cs="Times New Roman"/>
        </w:rPr>
      </w:pPr>
    </w:p>
    <w:sectPr w:rsidR="035C17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BsgHkWb3UUMgGB" int2:id="Pnwuj5iu">
      <int2:state int2:value="Rejected" int2:type="spell"/>
    </int2:textHash>
    <int2:bookmark int2:bookmarkName="_Int_sBA674sj" int2:invalidationBookmarkName="" int2:hashCode="yapNPBD0QoHbSI" int2:id="RQxdHgOh">
      <int2:state int2:value="Rejected" int2:type="gram"/>
    </int2:bookmark>
    <int2:bookmark int2:bookmarkName="_Int_t73802PP" int2:invalidationBookmarkName="" int2:hashCode="HQag128ADm7dGN" int2:id="IIXlYUR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703A2"/>
    <w:multiLevelType w:val="hybridMultilevel"/>
    <w:tmpl w:val="37702022"/>
    <w:lvl w:ilvl="0" w:tplc="21F2A874">
      <w:start w:val="1"/>
      <w:numFmt w:val="bullet"/>
      <w:lvlText w:val=""/>
      <w:lvlJc w:val="left"/>
      <w:pPr>
        <w:ind w:left="720" w:hanging="360"/>
      </w:pPr>
      <w:rPr>
        <w:rFonts w:ascii="Symbol" w:hAnsi="Symbol" w:hint="default"/>
      </w:rPr>
    </w:lvl>
    <w:lvl w:ilvl="1" w:tplc="EA507FD2">
      <w:start w:val="1"/>
      <w:numFmt w:val="bullet"/>
      <w:lvlText w:val="o"/>
      <w:lvlJc w:val="left"/>
      <w:pPr>
        <w:ind w:left="1440" w:hanging="360"/>
      </w:pPr>
      <w:rPr>
        <w:rFonts w:ascii="Courier New" w:hAnsi="Courier New" w:hint="default"/>
      </w:rPr>
    </w:lvl>
    <w:lvl w:ilvl="2" w:tplc="1FC67A70">
      <w:start w:val="1"/>
      <w:numFmt w:val="bullet"/>
      <w:lvlText w:val=""/>
      <w:lvlJc w:val="left"/>
      <w:pPr>
        <w:ind w:left="2160" w:hanging="360"/>
      </w:pPr>
      <w:rPr>
        <w:rFonts w:ascii="Wingdings" w:hAnsi="Wingdings" w:hint="default"/>
      </w:rPr>
    </w:lvl>
    <w:lvl w:ilvl="3" w:tplc="8CAAF05C">
      <w:start w:val="1"/>
      <w:numFmt w:val="bullet"/>
      <w:lvlText w:val=""/>
      <w:lvlJc w:val="left"/>
      <w:pPr>
        <w:ind w:left="2880" w:hanging="360"/>
      </w:pPr>
      <w:rPr>
        <w:rFonts w:ascii="Symbol" w:hAnsi="Symbol" w:hint="default"/>
      </w:rPr>
    </w:lvl>
    <w:lvl w:ilvl="4" w:tplc="81E81ECA">
      <w:start w:val="1"/>
      <w:numFmt w:val="bullet"/>
      <w:lvlText w:val="o"/>
      <w:lvlJc w:val="left"/>
      <w:pPr>
        <w:ind w:left="3600" w:hanging="360"/>
      </w:pPr>
      <w:rPr>
        <w:rFonts w:ascii="Courier New" w:hAnsi="Courier New" w:hint="default"/>
      </w:rPr>
    </w:lvl>
    <w:lvl w:ilvl="5" w:tplc="A5764800">
      <w:start w:val="1"/>
      <w:numFmt w:val="bullet"/>
      <w:lvlText w:val=""/>
      <w:lvlJc w:val="left"/>
      <w:pPr>
        <w:ind w:left="4320" w:hanging="360"/>
      </w:pPr>
      <w:rPr>
        <w:rFonts w:ascii="Wingdings" w:hAnsi="Wingdings" w:hint="default"/>
      </w:rPr>
    </w:lvl>
    <w:lvl w:ilvl="6" w:tplc="9A80C032">
      <w:start w:val="1"/>
      <w:numFmt w:val="bullet"/>
      <w:lvlText w:val=""/>
      <w:lvlJc w:val="left"/>
      <w:pPr>
        <w:ind w:left="5040" w:hanging="360"/>
      </w:pPr>
      <w:rPr>
        <w:rFonts w:ascii="Symbol" w:hAnsi="Symbol" w:hint="default"/>
      </w:rPr>
    </w:lvl>
    <w:lvl w:ilvl="7" w:tplc="BC94F778">
      <w:start w:val="1"/>
      <w:numFmt w:val="bullet"/>
      <w:lvlText w:val="o"/>
      <w:lvlJc w:val="left"/>
      <w:pPr>
        <w:ind w:left="5760" w:hanging="360"/>
      </w:pPr>
      <w:rPr>
        <w:rFonts w:ascii="Courier New" w:hAnsi="Courier New" w:hint="default"/>
      </w:rPr>
    </w:lvl>
    <w:lvl w:ilvl="8" w:tplc="51884584">
      <w:start w:val="1"/>
      <w:numFmt w:val="bullet"/>
      <w:lvlText w:val=""/>
      <w:lvlJc w:val="left"/>
      <w:pPr>
        <w:ind w:left="6480" w:hanging="360"/>
      </w:pPr>
      <w:rPr>
        <w:rFonts w:ascii="Wingdings" w:hAnsi="Wingdings" w:hint="default"/>
      </w:rPr>
    </w:lvl>
  </w:abstractNum>
  <w:abstractNum w:abstractNumId="1" w15:restartNumberingAfterBreak="0">
    <w:nsid w:val="492BF9AA"/>
    <w:multiLevelType w:val="hybridMultilevel"/>
    <w:tmpl w:val="09567818"/>
    <w:lvl w:ilvl="0" w:tplc="AE384D30">
      <w:start w:val="1"/>
      <w:numFmt w:val="bullet"/>
      <w:lvlText w:val=""/>
      <w:lvlJc w:val="left"/>
      <w:pPr>
        <w:ind w:left="720" w:hanging="360"/>
      </w:pPr>
      <w:rPr>
        <w:rFonts w:ascii="Symbol" w:hAnsi="Symbol" w:hint="default"/>
      </w:rPr>
    </w:lvl>
    <w:lvl w:ilvl="1" w:tplc="B1E4FFAA">
      <w:start w:val="1"/>
      <w:numFmt w:val="bullet"/>
      <w:lvlText w:val="o"/>
      <w:lvlJc w:val="left"/>
      <w:pPr>
        <w:ind w:left="1440" w:hanging="360"/>
      </w:pPr>
      <w:rPr>
        <w:rFonts w:ascii="Courier New" w:hAnsi="Courier New" w:hint="default"/>
      </w:rPr>
    </w:lvl>
    <w:lvl w:ilvl="2" w:tplc="E18AF106">
      <w:start w:val="1"/>
      <w:numFmt w:val="bullet"/>
      <w:lvlText w:val=""/>
      <w:lvlJc w:val="left"/>
      <w:pPr>
        <w:ind w:left="2160" w:hanging="360"/>
      </w:pPr>
      <w:rPr>
        <w:rFonts w:ascii="Wingdings" w:hAnsi="Wingdings" w:hint="default"/>
      </w:rPr>
    </w:lvl>
    <w:lvl w:ilvl="3" w:tplc="23560BFA">
      <w:start w:val="1"/>
      <w:numFmt w:val="bullet"/>
      <w:lvlText w:val=""/>
      <w:lvlJc w:val="left"/>
      <w:pPr>
        <w:ind w:left="2880" w:hanging="360"/>
      </w:pPr>
      <w:rPr>
        <w:rFonts w:ascii="Symbol" w:hAnsi="Symbol" w:hint="default"/>
      </w:rPr>
    </w:lvl>
    <w:lvl w:ilvl="4" w:tplc="AF82B828">
      <w:start w:val="1"/>
      <w:numFmt w:val="bullet"/>
      <w:lvlText w:val="o"/>
      <w:lvlJc w:val="left"/>
      <w:pPr>
        <w:ind w:left="3600" w:hanging="360"/>
      </w:pPr>
      <w:rPr>
        <w:rFonts w:ascii="Courier New" w:hAnsi="Courier New" w:hint="default"/>
      </w:rPr>
    </w:lvl>
    <w:lvl w:ilvl="5" w:tplc="51B4D260">
      <w:start w:val="1"/>
      <w:numFmt w:val="bullet"/>
      <w:lvlText w:val=""/>
      <w:lvlJc w:val="left"/>
      <w:pPr>
        <w:ind w:left="4320" w:hanging="360"/>
      </w:pPr>
      <w:rPr>
        <w:rFonts w:ascii="Wingdings" w:hAnsi="Wingdings" w:hint="default"/>
      </w:rPr>
    </w:lvl>
    <w:lvl w:ilvl="6" w:tplc="694E76F0">
      <w:start w:val="1"/>
      <w:numFmt w:val="bullet"/>
      <w:lvlText w:val=""/>
      <w:lvlJc w:val="left"/>
      <w:pPr>
        <w:ind w:left="5040" w:hanging="360"/>
      </w:pPr>
      <w:rPr>
        <w:rFonts w:ascii="Symbol" w:hAnsi="Symbol" w:hint="default"/>
      </w:rPr>
    </w:lvl>
    <w:lvl w:ilvl="7" w:tplc="5C4E933E">
      <w:start w:val="1"/>
      <w:numFmt w:val="bullet"/>
      <w:lvlText w:val="o"/>
      <w:lvlJc w:val="left"/>
      <w:pPr>
        <w:ind w:left="5760" w:hanging="360"/>
      </w:pPr>
      <w:rPr>
        <w:rFonts w:ascii="Courier New" w:hAnsi="Courier New" w:hint="default"/>
      </w:rPr>
    </w:lvl>
    <w:lvl w:ilvl="8" w:tplc="312A6778">
      <w:start w:val="1"/>
      <w:numFmt w:val="bullet"/>
      <w:lvlText w:val=""/>
      <w:lvlJc w:val="left"/>
      <w:pPr>
        <w:ind w:left="6480" w:hanging="360"/>
      </w:pPr>
      <w:rPr>
        <w:rFonts w:ascii="Wingdings" w:hAnsi="Wingdings" w:hint="default"/>
      </w:rPr>
    </w:lvl>
  </w:abstractNum>
  <w:num w:numId="1" w16cid:durableId="467016158">
    <w:abstractNumId w:val="1"/>
  </w:num>
  <w:num w:numId="2" w16cid:durableId="57753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17241EF"/>
    <w:rsid w:val="004F1C9D"/>
    <w:rsid w:val="006A383A"/>
    <w:rsid w:val="00736610"/>
    <w:rsid w:val="008494B6"/>
    <w:rsid w:val="00BCF0F8"/>
    <w:rsid w:val="00C62DAB"/>
    <w:rsid w:val="00C70286"/>
    <w:rsid w:val="00CC8947"/>
    <w:rsid w:val="00E410C9"/>
    <w:rsid w:val="0323B15C"/>
    <w:rsid w:val="035C1781"/>
    <w:rsid w:val="044CB79D"/>
    <w:rsid w:val="04DA7BBC"/>
    <w:rsid w:val="04E6BEF1"/>
    <w:rsid w:val="04E944C7"/>
    <w:rsid w:val="06833B92"/>
    <w:rsid w:val="06F7D54D"/>
    <w:rsid w:val="07435904"/>
    <w:rsid w:val="075A2515"/>
    <w:rsid w:val="07A75E0E"/>
    <w:rsid w:val="0B52D611"/>
    <w:rsid w:val="0B9044EB"/>
    <w:rsid w:val="0C8B759D"/>
    <w:rsid w:val="0D92C960"/>
    <w:rsid w:val="0DF4F896"/>
    <w:rsid w:val="0E97862F"/>
    <w:rsid w:val="0ED0BB2E"/>
    <w:rsid w:val="10352393"/>
    <w:rsid w:val="110CC478"/>
    <w:rsid w:val="1148AC15"/>
    <w:rsid w:val="11BD7B02"/>
    <w:rsid w:val="11C4B79A"/>
    <w:rsid w:val="12873AED"/>
    <w:rsid w:val="12924383"/>
    <w:rsid w:val="12E5846D"/>
    <w:rsid w:val="139EB1A1"/>
    <w:rsid w:val="13D14F41"/>
    <w:rsid w:val="15B14717"/>
    <w:rsid w:val="172BF67A"/>
    <w:rsid w:val="17BBF155"/>
    <w:rsid w:val="1865D8A3"/>
    <w:rsid w:val="18716B7E"/>
    <w:rsid w:val="18D77A45"/>
    <w:rsid w:val="1950E0E0"/>
    <w:rsid w:val="1A793964"/>
    <w:rsid w:val="1B01F18B"/>
    <w:rsid w:val="1B1DA1C7"/>
    <w:rsid w:val="1BDF5EC3"/>
    <w:rsid w:val="1EDA94BB"/>
    <w:rsid w:val="1F4F3362"/>
    <w:rsid w:val="20E4DBD0"/>
    <w:rsid w:val="216A4A9F"/>
    <w:rsid w:val="216AF94E"/>
    <w:rsid w:val="22027F1C"/>
    <w:rsid w:val="221034BA"/>
    <w:rsid w:val="2278E884"/>
    <w:rsid w:val="23806CC1"/>
    <w:rsid w:val="23A4AC10"/>
    <w:rsid w:val="241BC5F2"/>
    <w:rsid w:val="25D19B9C"/>
    <w:rsid w:val="26DCA122"/>
    <w:rsid w:val="27655E0C"/>
    <w:rsid w:val="29BF6E4D"/>
    <w:rsid w:val="2A2A08F2"/>
    <w:rsid w:val="2BD2024D"/>
    <w:rsid w:val="2BE7D763"/>
    <w:rsid w:val="2C75B9F2"/>
    <w:rsid w:val="2F06C044"/>
    <w:rsid w:val="2F15C76E"/>
    <w:rsid w:val="2F1C1CE8"/>
    <w:rsid w:val="30B7AAD0"/>
    <w:rsid w:val="30C735F0"/>
    <w:rsid w:val="31459E0E"/>
    <w:rsid w:val="317241EF"/>
    <w:rsid w:val="31FC0CE4"/>
    <w:rsid w:val="322972A7"/>
    <w:rsid w:val="3265CC62"/>
    <w:rsid w:val="32748A89"/>
    <w:rsid w:val="330486CA"/>
    <w:rsid w:val="33269441"/>
    <w:rsid w:val="336980CB"/>
    <w:rsid w:val="37598C92"/>
    <w:rsid w:val="37F806CC"/>
    <w:rsid w:val="38C0324A"/>
    <w:rsid w:val="3936CCD4"/>
    <w:rsid w:val="39F631D7"/>
    <w:rsid w:val="3AED2718"/>
    <w:rsid w:val="3B8AF8FB"/>
    <w:rsid w:val="3B9698AA"/>
    <w:rsid w:val="3BEE4151"/>
    <w:rsid w:val="3C69ED20"/>
    <w:rsid w:val="3C9E6988"/>
    <w:rsid w:val="3D593900"/>
    <w:rsid w:val="3DA516AD"/>
    <w:rsid w:val="3EC76105"/>
    <w:rsid w:val="40BDC4A1"/>
    <w:rsid w:val="419B6E66"/>
    <w:rsid w:val="42D2087C"/>
    <w:rsid w:val="450F1E9D"/>
    <w:rsid w:val="452B300C"/>
    <w:rsid w:val="452B8315"/>
    <w:rsid w:val="455AF64C"/>
    <w:rsid w:val="4596224C"/>
    <w:rsid w:val="46A47EF8"/>
    <w:rsid w:val="4751F185"/>
    <w:rsid w:val="4753BD51"/>
    <w:rsid w:val="4920CA46"/>
    <w:rsid w:val="497FF235"/>
    <w:rsid w:val="4999AEFB"/>
    <w:rsid w:val="4A2A4CCC"/>
    <w:rsid w:val="4A87576A"/>
    <w:rsid w:val="4A93305C"/>
    <w:rsid w:val="4B5CE67A"/>
    <w:rsid w:val="4BA0C502"/>
    <w:rsid w:val="4BB0C8EF"/>
    <w:rsid w:val="4BE03268"/>
    <w:rsid w:val="4C64F65C"/>
    <w:rsid w:val="4C6CFC60"/>
    <w:rsid w:val="4E1F4CF5"/>
    <w:rsid w:val="4EA665F6"/>
    <w:rsid w:val="502EEA12"/>
    <w:rsid w:val="50556259"/>
    <w:rsid w:val="51CD9BB9"/>
    <w:rsid w:val="51E0C18A"/>
    <w:rsid w:val="521757FA"/>
    <w:rsid w:val="52BE27E5"/>
    <w:rsid w:val="540DE6B3"/>
    <w:rsid w:val="5426E4C0"/>
    <w:rsid w:val="5496BD7D"/>
    <w:rsid w:val="54AAF594"/>
    <w:rsid w:val="55132362"/>
    <w:rsid w:val="558270ED"/>
    <w:rsid w:val="5605E44C"/>
    <w:rsid w:val="567B8279"/>
    <w:rsid w:val="5772C650"/>
    <w:rsid w:val="57DB708C"/>
    <w:rsid w:val="57E7FCD2"/>
    <w:rsid w:val="583EB6D2"/>
    <w:rsid w:val="586C7419"/>
    <w:rsid w:val="587FE3C1"/>
    <w:rsid w:val="5916E714"/>
    <w:rsid w:val="5AA02CD8"/>
    <w:rsid w:val="5B33A5C8"/>
    <w:rsid w:val="5C157AE7"/>
    <w:rsid w:val="5C5B6AD8"/>
    <w:rsid w:val="5D403E42"/>
    <w:rsid w:val="5E106D59"/>
    <w:rsid w:val="5E83673E"/>
    <w:rsid w:val="5F450542"/>
    <w:rsid w:val="5FCB7D23"/>
    <w:rsid w:val="61DA44B1"/>
    <w:rsid w:val="62350353"/>
    <w:rsid w:val="6266FEE3"/>
    <w:rsid w:val="639703A0"/>
    <w:rsid w:val="63EB4C2B"/>
    <w:rsid w:val="63FAFB42"/>
    <w:rsid w:val="64143AC9"/>
    <w:rsid w:val="64DD4063"/>
    <w:rsid w:val="65A07645"/>
    <w:rsid w:val="65E40E86"/>
    <w:rsid w:val="66BDFC72"/>
    <w:rsid w:val="67251FFB"/>
    <w:rsid w:val="69126E3F"/>
    <w:rsid w:val="692C9B91"/>
    <w:rsid w:val="69821B28"/>
    <w:rsid w:val="69932E2B"/>
    <w:rsid w:val="6A4327F5"/>
    <w:rsid w:val="6A8EBE2E"/>
    <w:rsid w:val="6B269A42"/>
    <w:rsid w:val="6B8ABAEF"/>
    <w:rsid w:val="6CA49695"/>
    <w:rsid w:val="6D1D68C0"/>
    <w:rsid w:val="6DC0E85F"/>
    <w:rsid w:val="6DC6501D"/>
    <w:rsid w:val="6E360370"/>
    <w:rsid w:val="70593648"/>
    <w:rsid w:val="708B92ED"/>
    <w:rsid w:val="71416F7C"/>
    <w:rsid w:val="716EFE4F"/>
    <w:rsid w:val="718B608E"/>
    <w:rsid w:val="71E5660C"/>
    <w:rsid w:val="727C1607"/>
    <w:rsid w:val="72C78A38"/>
    <w:rsid w:val="72EAE50D"/>
    <w:rsid w:val="738EAD9E"/>
    <w:rsid w:val="73CBBA25"/>
    <w:rsid w:val="74C37BE0"/>
    <w:rsid w:val="75255BF1"/>
    <w:rsid w:val="75296A87"/>
    <w:rsid w:val="7563D214"/>
    <w:rsid w:val="75D129B1"/>
    <w:rsid w:val="75E4C7E8"/>
    <w:rsid w:val="76589678"/>
    <w:rsid w:val="77893488"/>
    <w:rsid w:val="77EDB92B"/>
    <w:rsid w:val="78BA6403"/>
    <w:rsid w:val="78D1E9EF"/>
    <w:rsid w:val="7959F0DA"/>
    <w:rsid w:val="7C536760"/>
    <w:rsid w:val="7CD9E098"/>
    <w:rsid w:val="7D167E9E"/>
    <w:rsid w:val="7D68BC2A"/>
    <w:rsid w:val="7D9EDF39"/>
    <w:rsid w:val="7DEB9B57"/>
    <w:rsid w:val="7E1983BD"/>
    <w:rsid w:val="7E807BF7"/>
    <w:rsid w:val="7EB6CACF"/>
    <w:rsid w:val="7F793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490C5"/>
  <w15:chartTrackingRefBased/>
  <w15:docId w15:val="{DAF831DD-0591-4378-87B9-A3A0D70E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639703A0"/>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35C1781"/>
    <w:rPr>
      <w:color w:val="467886"/>
      <w:u w:val="single"/>
    </w:rPr>
  </w:style>
  <w:style w:type="paragraph" w:styleId="ListParagraph">
    <w:name w:val="List Paragraph"/>
    <w:basedOn w:val="Normal"/>
    <w:uiPriority w:val="34"/>
    <w:qFormat/>
    <w:rsid w:val="639703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trtr.1956" TargetMode="External"/><Relationship Id="rId3" Type="http://schemas.openxmlformats.org/officeDocument/2006/relationships/settings" Target="settings.xml"/><Relationship Id="rId7" Type="http://schemas.openxmlformats.org/officeDocument/2006/relationships/hyperlink" Target="https://www.census.gov/quickfacts/hopewellcityvirgin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80/02568543.2018.1531450" TargetMode="External"/><Relationship Id="rId11" Type="http://schemas.microsoft.com/office/2020/10/relationships/intelligence" Target="intelligence2.xml"/><Relationship Id="rId5" Type="http://schemas.openxmlformats.org/officeDocument/2006/relationships/hyperlink" Target="https://doi.org/10.1177/10762175209407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3ad4e392-d735-4e13-8c0a-6a8abdb0683c">
  <we:reference id="WA200007520" version="3.0.0.0" store="en-US" storeType="omex"/>
  <we:alternateReferences>
    <we:reference id="WA200007520" version="3.0.0.0" store="omex"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d693e8a4-4903-41d0-a653-98bfe74e007c">
  <we:reference id="WA104382081" version="1.55.1.0" store="en-US" storeType="omex"/>
  <we:alternateReferences>
    <we:reference id="WA104382081" version="1.55.1.0" store="omex"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10</Pages>
  <Words>2025</Words>
  <Characters>11547</Characters>
  <Application>Microsoft Office Word</Application>
  <DocSecurity>0</DocSecurity>
  <Lines>96</Lines>
  <Paragraphs>27</Paragraphs>
  <ScaleCrop>false</ScaleCrop>
  <Company/>
  <LinksUpToDate>false</LinksUpToDate>
  <CharactersWithSpaces>13545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Feliciano</dc:creator>
  <cp:keywords/>
  <dc:description/>
  <cp:lastModifiedBy>Maria Feliciano</cp:lastModifiedBy>
  <cp:revision>2</cp:revision>
  <dcterms:created xsi:type="dcterms:W3CDTF">2026-09-19T19:55:00Z</dcterms:created>
  <dcterms:modified xsi:type="dcterms:W3CDTF">2026-09-19T19:55:00Z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1dbf126f-ad68-4a87-b209-c2ba3d7230fa</vt:lpwstr>
  </property>
</Properties>
</file>