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8F3CB" w14:textId="146D09A1" w:rsidR="00ED4011" w:rsidRDefault="2ED8831E" w:rsidP="085D9774">
      <w:pPr>
        <w:pStyle w:val="Heading2"/>
        <w:shd w:val="clear" w:color="auto" w:fill="FFFFFF" w:themeFill="background1"/>
        <w:spacing w:before="90" w:after="90"/>
        <w:jc w:val="center"/>
      </w:pPr>
      <w:r w:rsidRPr="085D9774">
        <w:rPr>
          <w:rFonts w:asciiTheme="minorHAnsi" w:eastAsiaTheme="minorEastAsia" w:hAnsiTheme="minorHAnsi" w:cstheme="minorBidi"/>
          <w:b/>
          <w:bCs/>
          <w:color w:val="05213B"/>
          <w:sz w:val="24"/>
          <w:szCs w:val="24"/>
        </w:rPr>
        <w:t xml:space="preserve">Proposal to Increase </w:t>
      </w:r>
      <w:r w:rsidR="007C76A6">
        <w:rPr>
          <w:rFonts w:asciiTheme="minorHAnsi" w:eastAsiaTheme="minorEastAsia" w:hAnsiTheme="minorHAnsi" w:cstheme="minorBidi"/>
          <w:b/>
          <w:bCs/>
          <w:color w:val="05213B"/>
          <w:sz w:val="24"/>
          <w:szCs w:val="24"/>
        </w:rPr>
        <w:t>Evidence-Based</w:t>
      </w:r>
      <w:r w:rsidRPr="085D9774">
        <w:rPr>
          <w:rFonts w:asciiTheme="minorHAnsi" w:eastAsiaTheme="minorEastAsia" w:hAnsiTheme="minorHAnsi" w:cstheme="minorBidi"/>
          <w:b/>
          <w:bCs/>
          <w:color w:val="05213B"/>
          <w:sz w:val="24"/>
          <w:szCs w:val="24"/>
        </w:rPr>
        <w:t xml:space="preserve"> Strategies</w:t>
      </w:r>
    </w:p>
    <w:p w14:paraId="470DD35E" w14:textId="2D343550" w:rsidR="00ED4011" w:rsidRDefault="00ED4011" w:rsidP="085D9774"/>
    <w:p w14:paraId="2E8E6375" w14:textId="1A377B91" w:rsidR="00ED4011" w:rsidRDefault="00ED4011" w:rsidP="085D9774"/>
    <w:p w14:paraId="51CA619E" w14:textId="6F905941" w:rsidR="00ED4011" w:rsidRDefault="00ED4011" w:rsidP="085D9774"/>
    <w:p w14:paraId="19032C5D" w14:textId="5C62910F" w:rsidR="00ED4011" w:rsidRDefault="54F024CF" w:rsidP="085D9774">
      <w:pPr>
        <w:jc w:val="center"/>
      </w:pPr>
      <w:r w:rsidRPr="085D9774">
        <w:t>Maria Feliciano</w:t>
      </w:r>
    </w:p>
    <w:p w14:paraId="57C9455B" w14:textId="21745EE9" w:rsidR="00ED4011" w:rsidRDefault="54F024CF" w:rsidP="085D9774">
      <w:pPr>
        <w:jc w:val="center"/>
      </w:pPr>
      <w:r w:rsidRPr="085D9774">
        <w:t>American College of Education</w:t>
      </w:r>
    </w:p>
    <w:p w14:paraId="43DF9A4E" w14:textId="32206813" w:rsidR="00ED4011" w:rsidRDefault="54F024CF" w:rsidP="085D9774">
      <w:pPr>
        <w:jc w:val="center"/>
      </w:pPr>
      <w:r w:rsidRPr="085D9774">
        <w:t>BE6123</w:t>
      </w:r>
    </w:p>
    <w:p w14:paraId="33A58C35" w14:textId="743C6A68" w:rsidR="00ED4011" w:rsidRDefault="54F024CF" w:rsidP="085D9774">
      <w:pPr>
        <w:jc w:val="center"/>
      </w:pPr>
      <w:r w:rsidRPr="085D9774">
        <w:t>Dr. Stalnaker</w:t>
      </w:r>
    </w:p>
    <w:p w14:paraId="76DD2238" w14:textId="02917ECF" w:rsidR="00ED4011" w:rsidRDefault="54F024CF" w:rsidP="085D9774">
      <w:pPr>
        <w:jc w:val="center"/>
      </w:pPr>
      <w:r w:rsidRPr="085D9774">
        <w:t>August 24, 2026</w:t>
      </w:r>
    </w:p>
    <w:p w14:paraId="2C4D7560" w14:textId="17D9BE1D" w:rsidR="00ED4011" w:rsidRDefault="00ED4011" w:rsidP="085D9774">
      <w:pPr>
        <w:jc w:val="center"/>
      </w:pPr>
    </w:p>
    <w:p w14:paraId="45EFFEE6" w14:textId="1A258C6D" w:rsidR="00ED4011" w:rsidRDefault="00ED4011" w:rsidP="085D9774">
      <w:pPr>
        <w:jc w:val="center"/>
      </w:pPr>
    </w:p>
    <w:p w14:paraId="106145EB" w14:textId="6C6D3718" w:rsidR="00ED4011" w:rsidRDefault="00ED4011" w:rsidP="085D9774">
      <w:pPr>
        <w:jc w:val="center"/>
      </w:pPr>
    </w:p>
    <w:p w14:paraId="1783F51B" w14:textId="7C1A2247" w:rsidR="00ED4011" w:rsidRDefault="00ED4011" w:rsidP="085D9774">
      <w:pPr>
        <w:jc w:val="center"/>
      </w:pPr>
    </w:p>
    <w:p w14:paraId="7327EC85" w14:textId="466AFAE1" w:rsidR="00ED4011" w:rsidRDefault="00ED4011" w:rsidP="085D9774">
      <w:pPr>
        <w:jc w:val="center"/>
      </w:pPr>
    </w:p>
    <w:p w14:paraId="694D085A" w14:textId="4D4B0929" w:rsidR="00ED4011" w:rsidRDefault="00ED4011" w:rsidP="085D9774">
      <w:pPr>
        <w:jc w:val="center"/>
      </w:pPr>
    </w:p>
    <w:p w14:paraId="266235D8" w14:textId="477955A1" w:rsidR="00ED4011" w:rsidRDefault="00ED4011" w:rsidP="085D9774">
      <w:pPr>
        <w:jc w:val="center"/>
      </w:pPr>
    </w:p>
    <w:p w14:paraId="6EF34DBA" w14:textId="1D595ACD" w:rsidR="00ED4011" w:rsidRDefault="00ED4011" w:rsidP="085D9774">
      <w:pPr>
        <w:jc w:val="center"/>
      </w:pPr>
    </w:p>
    <w:p w14:paraId="5883DC0C" w14:textId="17DD8424" w:rsidR="00ED4011" w:rsidRDefault="00ED4011" w:rsidP="085D9774">
      <w:pPr>
        <w:jc w:val="center"/>
      </w:pPr>
    </w:p>
    <w:p w14:paraId="70E78ADE" w14:textId="530CE492" w:rsidR="00ED4011" w:rsidRDefault="00ED4011" w:rsidP="085D9774">
      <w:pPr>
        <w:jc w:val="center"/>
      </w:pPr>
    </w:p>
    <w:p w14:paraId="18C02245" w14:textId="7041DA31" w:rsidR="00ED4011" w:rsidRDefault="00ED4011" w:rsidP="085D9774">
      <w:pPr>
        <w:jc w:val="center"/>
      </w:pPr>
    </w:p>
    <w:p w14:paraId="66C8FB65" w14:textId="455FECC4" w:rsidR="00ED4011" w:rsidRDefault="00ED4011" w:rsidP="085D9774">
      <w:pPr>
        <w:jc w:val="center"/>
      </w:pPr>
    </w:p>
    <w:p w14:paraId="7003A6FB" w14:textId="6877962D" w:rsidR="00ED4011" w:rsidRDefault="00ED4011" w:rsidP="085D9774">
      <w:pPr>
        <w:jc w:val="center"/>
      </w:pPr>
    </w:p>
    <w:p w14:paraId="5BC7FBF8" w14:textId="439AF1EF" w:rsidR="00ED4011" w:rsidRDefault="00ED4011" w:rsidP="085D9774">
      <w:pPr>
        <w:jc w:val="center"/>
      </w:pPr>
    </w:p>
    <w:p w14:paraId="43DEA20A" w14:textId="012ADDD8" w:rsidR="00ED4011" w:rsidRDefault="00ED4011" w:rsidP="085D9774">
      <w:pPr>
        <w:jc w:val="center"/>
      </w:pPr>
    </w:p>
    <w:p w14:paraId="693CDAE8" w14:textId="6CEA31B2" w:rsidR="00ED4011" w:rsidRDefault="00ED4011" w:rsidP="085D9774">
      <w:pPr>
        <w:jc w:val="center"/>
      </w:pPr>
    </w:p>
    <w:p w14:paraId="76B59ED7" w14:textId="5120543B" w:rsidR="00ED4011" w:rsidRDefault="00ED4011" w:rsidP="085D9774">
      <w:pPr>
        <w:jc w:val="center"/>
      </w:pPr>
    </w:p>
    <w:p w14:paraId="166A2064" w14:textId="064F9CDC" w:rsidR="00ED4011" w:rsidRDefault="00ED4011" w:rsidP="085D9774">
      <w:pPr>
        <w:jc w:val="center"/>
      </w:pPr>
    </w:p>
    <w:p w14:paraId="4BBEB202" w14:textId="141DA1C7" w:rsidR="00ED4011" w:rsidRDefault="1EE3AD59" w:rsidP="085D9774">
      <w:pPr>
        <w:pStyle w:val="Heading2"/>
        <w:shd w:val="clear" w:color="auto" w:fill="FFFFFF" w:themeFill="background1"/>
        <w:spacing w:before="90" w:after="90" w:line="480" w:lineRule="auto"/>
        <w:jc w:val="center"/>
        <w:rPr>
          <w:rFonts w:asciiTheme="minorHAnsi" w:eastAsiaTheme="minorEastAsia" w:hAnsiTheme="minorHAnsi" w:cstheme="minorBidi"/>
          <w:b/>
          <w:bCs/>
          <w:color w:val="auto"/>
          <w:sz w:val="24"/>
          <w:szCs w:val="24"/>
        </w:rPr>
      </w:pPr>
      <w:r w:rsidRPr="085D9774">
        <w:rPr>
          <w:rFonts w:asciiTheme="minorHAnsi" w:eastAsiaTheme="minorEastAsia" w:hAnsiTheme="minorHAnsi" w:cstheme="minorBidi"/>
          <w:b/>
          <w:bCs/>
          <w:color w:val="auto"/>
          <w:sz w:val="24"/>
          <w:szCs w:val="24"/>
        </w:rPr>
        <w:lastRenderedPageBreak/>
        <w:t>Proposal to Increase Evidenced-Based Strategies</w:t>
      </w:r>
      <w:r w:rsidR="65A4C995" w:rsidRPr="085D9774">
        <w:rPr>
          <w:rFonts w:asciiTheme="minorHAnsi" w:eastAsiaTheme="minorEastAsia" w:hAnsiTheme="minorHAnsi" w:cstheme="minorBidi"/>
          <w:b/>
          <w:bCs/>
          <w:color w:val="auto"/>
          <w:sz w:val="24"/>
          <w:szCs w:val="24"/>
        </w:rPr>
        <w:t xml:space="preserve"> for Elementary </w:t>
      </w:r>
      <w:r w:rsidR="57494C2C" w:rsidRPr="085D9774">
        <w:rPr>
          <w:rFonts w:asciiTheme="minorHAnsi" w:eastAsiaTheme="minorEastAsia" w:hAnsiTheme="minorHAnsi" w:cstheme="minorBidi"/>
          <w:b/>
          <w:bCs/>
          <w:color w:val="auto"/>
          <w:sz w:val="24"/>
          <w:szCs w:val="24"/>
        </w:rPr>
        <w:t>English Learners</w:t>
      </w:r>
    </w:p>
    <w:p w14:paraId="241F18FD" w14:textId="71064E5F" w:rsidR="00ED4011" w:rsidRDefault="02E56582" w:rsidP="085D9774">
      <w:pPr>
        <w:spacing w:before="120" w:after="120" w:line="480" w:lineRule="auto"/>
        <w:ind w:firstLine="720"/>
      </w:pPr>
      <w:r w:rsidRPr="085D9774">
        <w:rPr>
          <w:rFonts w:ascii="Times New Roman" w:eastAsia="Times New Roman" w:hAnsi="Times New Roman" w:cs="Times New Roman"/>
        </w:rPr>
        <w:t>This proposal outlines an elementary English as a Second Language program that uses translanguaging as a core instructional approach. The program leverages students' full linguistic repertoire, including their home languages, as assets for English acquisition. Designed for Grades 1–5 emergent bilingual students, the Bridging Multilingual ESL Program is grounded in translanguaging pedagogy, which values home languages as cognitive and emotional resources for academic achievement.</w:t>
      </w:r>
      <w:r w:rsidR="6E75C682" w:rsidRPr="085D9774">
        <w:rPr>
          <w:rFonts w:ascii="Times New Roman" w:eastAsia="Times New Roman" w:hAnsi="Times New Roman" w:cs="Times New Roman"/>
        </w:rPr>
        <w:t xml:space="preserve"> The main goal is to improve English language skills and content understanding by allowing flexible language use during brainstorming, drafting, and discussion.</w:t>
      </w:r>
      <w:r w:rsidR="460BEF3E" w:rsidRPr="085D9774">
        <w:rPr>
          <w:rFonts w:ascii="Times New Roman" w:eastAsia="Times New Roman" w:hAnsi="Times New Roman" w:cs="Times New Roman"/>
        </w:rPr>
        <w:t xml:space="preserve"> </w:t>
      </w:r>
      <w:r w:rsidR="1935D50E" w:rsidRPr="085D9774">
        <w:rPr>
          <w:rFonts w:ascii="Times New Roman" w:eastAsia="Times New Roman" w:hAnsi="Times New Roman" w:cs="Times New Roman"/>
        </w:rPr>
        <w:t xml:space="preserve">Key program components include multilingual brainstorming, in which second language learners use their home languages to generate, organize, and discuss ideas before writing or speaking in English. </w:t>
      </w:r>
    </w:p>
    <w:p w14:paraId="2F9C1A77" w14:textId="451A1B43" w:rsidR="00ED4011" w:rsidRDefault="0CA73CBD" w:rsidP="085D9774">
      <w:pPr>
        <w:pStyle w:val="Heading3"/>
        <w:spacing w:before="140" w:after="140" w:line="480" w:lineRule="auto"/>
        <w:ind w:firstLine="720"/>
      </w:pPr>
      <w:r w:rsidRPr="085D9774">
        <w:rPr>
          <w:rFonts w:ascii="Times New Roman" w:eastAsia="Times New Roman" w:hAnsi="Times New Roman" w:cs="Times New Roman"/>
          <w:color w:val="auto"/>
          <w:sz w:val="24"/>
          <w:szCs w:val="24"/>
        </w:rPr>
        <w:t>The proposed translanguaging approach, designed to strengthen evidence-based strategies, is expected to increase academic engagement and willingness to take risks in language production. Additionally, it aims to promote deeper cognitive processing of complex subject-area concepts and to strengthen self-esteem and cultural identity affirmation among multilingual learners.</w:t>
      </w:r>
    </w:p>
    <w:p w14:paraId="35BF2BC3" w14:textId="42339009" w:rsidR="00ED4011" w:rsidRDefault="5432D6AA" w:rsidP="085D9774">
      <w:pPr>
        <w:spacing w:before="120" w:after="120" w:line="480" w:lineRule="auto"/>
        <w:ind w:firstLine="720"/>
        <w:rPr>
          <w:rFonts w:ascii="Times New Roman" w:eastAsia="Times New Roman" w:hAnsi="Times New Roman" w:cs="Times New Roman"/>
          <w:i/>
          <w:iCs/>
        </w:rPr>
      </w:pPr>
      <w:r w:rsidRPr="085D9774">
        <w:rPr>
          <w:rFonts w:ascii="Times New Roman" w:eastAsia="Times New Roman" w:hAnsi="Times New Roman" w:cs="Times New Roman"/>
        </w:rPr>
        <w:t>Translanguaging pedagogy helps students see themselves as capable, bilingual individuals with valuable knowledge and experiences. It treats translanguaging as a basic right, allowing students to use all their language skills in the classroom to support their learning. This approach also changes how we view these students, recognizing their strengths and unique ways of understanding, rather than seeing them as lacking. By focusing on the specific needs and abilities of multilingual learners, we can create a classroom environment that encourages real growth and positive change (García &amp; Kleifgen, 2020).</w:t>
      </w:r>
    </w:p>
    <w:p w14:paraId="05E9C0DD" w14:textId="6B88A58E" w:rsidR="00ED4011" w:rsidRDefault="5432D6AA" w:rsidP="085D9774">
      <w:pPr>
        <w:jc w:val="center"/>
      </w:pPr>
      <w:r w:rsidRPr="085D9774">
        <w:lastRenderedPageBreak/>
        <w:t xml:space="preserve"> </w:t>
      </w:r>
      <w:r w:rsidR="3CCB1709" w:rsidRPr="085D9774">
        <w:rPr>
          <w:rFonts w:ascii="Times New Roman" w:eastAsia="Times New Roman" w:hAnsi="Times New Roman" w:cs="Times New Roman"/>
          <w:b/>
          <w:bCs/>
        </w:rPr>
        <w:t xml:space="preserve">Instructional Strategies </w:t>
      </w:r>
    </w:p>
    <w:p w14:paraId="7DA9C130" w14:textId="29B7C3D5" w:rsidR="00ED4011" w:rsidRDefault="638046C6" w:rsidP="085D9774">
      <w:pPr>
        <w:spacing w:before="120" w:after="120" w:line="480" w:lineRule="auto"/>
        <w:ind w:firstLine="720"/>
      </w:pPr>
      <w:r w:rsidRPr="390925F2">
        <w:rPr>
          <w:rFonts w:ascii="Times New Roman" w:eastAsia="Times New Roman" w:hAnsi="Times New Roman" w:cs="Times New Roman"/>
        </w:rPr>
        <w:t xml:space="preserve">The primary instructional strategy involves previewing, viewing, and reviewing during lessons: introducing a concept in the home language, transitioning to core instruction in English, and subsequently debriefing or reviewing concepts in </w:t>
      </w:r>
      <w:r w:rsidR="24E13E4E" w:rsidRPr="390925F2">
        <w:rPr>
          <w:rFonts w:ascii="Times New Roman" w:eastAsia="Times New Roman" w:hAnsi="Times New Roman" w:cs="Times New Roman"/>
        </w:rPr>
        <w:t>both</w:t>
      </w:r>
      <w:r w:rsidRPr="390925F2">
        <w:rPr>
          <w:rFonts w:ascii="Times New Roman" w:eastAsia="Times New Roman" w:hAnsi="Times New Roman" w:cs="Times New Roman"/>
        </w:rPr>
        <w:t xml:space="preserve"> </w:t>
      </w:r>
      <w:r w:rsidR="4BA33321" w:rsidRPr="390925F2">
        <w:rPr>
          <w:rFonts w:ascii="Times New Roman" w:eastAsia="Times New Roman" w:hAnsi="Times New Roman" w:cs="Times New Roman"/>
        </w:rPr>
        <w:t>languages. The</w:t>
      </w:r>
      <w:r w:rsidR="66A2AE99" w:rsidRPr="390925F2">
        <w:rPr>
          <w:rFonts w:ascii="Times New Roman" w:eastAsia="Times New Roman" w:hAnsi="Times New Roman" w:cs="Times New Roman"/>
        </w:rPr>
        <w:t xml:space="preserve"> second instructional strategy uses flexible partner pairing or collaborative groups, intentionally matching bilingual peers to co-construct meaning, clarify complex English vocabulary, and support joint projects.</w:t>
      </w:r>
      <w:r w:rsidR="040A5843" w:rsidRPr="390925F2">
        <w:rPr>
          <w:rFonts w:ascii="Times New Roman" w:eastAsia="Times New Roman" w:hAnsi="Times New Roman" w:cs="Times New Roman"/>
        </w:rPr>
        <w:t xml:space="preserve"> </w:t>
      </w:r>
      <w:r w:rsidR="040A5843" w:rsidRPr="390925F2">
        <w:t>The third instructional strategy uses multimodal and bilingual materials, such as drawings, graphic organizers, and home-language notes alongside English text, to show a strong understanding of the subject.</w:t>
      </w:r>
    </w:p>
    <w:p w14:paraId="764D07C0" w14:textId="2F0B998F" w:rsidR="00ED4011" w:rsidRDefault="10A51331" w:rsidP="390925F2">
      <w:pPr>
        <w:spacing w:before="120" w:after="120" w:line="480" w:lineRule="auto"/>
        <w:ind w:firstLine="720"/>
        <w:rPr>
          <w:rFonts w:ascii="Times New Roman" w:eastAsia="Times New Roman" w:hAnsi="Times New Roman" w:cs="Times New Roman"/>
        </w:rPr>
      </w:pPr>
      <w:r w:rsidRPr="390925F2">
        <w:rPr>
          <w:rFonts w:ascii="Times New Roman" w:eastAsia="Times New Roman" w:hAnsi="Times New Roman" w:cs="Times New Roman"/>
        </w:rPr>
        <w:t>Access to grade-level course content is essential. For English Language Learners, exposure to grade-level coursework offers critical opportunities to acquire the language necessary for academic achievement and full English proficiency. Such coursework also increases the likelihood that students will find the materials engaging, meaningful, and worthy of effort</w:t>
      </w:r>
      <w:r w:rsidR="5504568E" w:rsidRPr="390925F2">
        <w:rPr>
          <w:rFonts w:ascii="Times New Roman" w:eastAsia="Times New Roman" w:hAnsi="Times New Roman" w:cs="Times New Roman"/>
        </w:rPr>
        <w:t xml:space="preserve">. For elementary students, visual </w:t>
      </w:r>
      <w:proofErr w:type="gramStart"/>
      <w:r w:rsidR="5504568E" w:rsidRPr="390925F2">
        <w:rPr>
          <w:rFonts w:ascii="Times New Roman" w:eastAsia="Times New Roman" w:hAnsi="Times New Roman" w:cs="Times New Roman"/>
        </w:rPr>
        <w:t>supports</w:t>
      </w:r>
      <w:proofErr w:type="gramEnd"/>
      <w:r w:rsidR="5504568E" w:rsidRPr="390925F2">
        <w:rPr>
          <w:rFonts w:ascii="Times New Roman" w:eastAsia="Times New Roman" w:hAnsi="Times New Roman" w:cs="Times New Roman"/>
        </w:rPr>
        <w:t xml:space="preserve"> use pictures, short videos, and graphic organizers to help explain complex vocabulary and ideas. Verbal supports include glossaries, teachers explaining words in context, and discussions in different group sizes to clarify key points. </w:t>
      </w:r>
      <w:r w:rsidR="7992D7BC" w:rsidRPr="390925F2">
        <w:rPr>
          <w:rFonts w:ascii="Times New Roman" w:eastAsia="Times New Roman" w:hAnsi="Times New Roman" w:cs="Times New Roman"/>
        </w:rPr>
        <w:t>(</w:t>
      </w:r>
      <w:proofErr w:type="gramStart"/>
      <w:r w:rsidR="7992D7BC" w:rsidRPr="390925F2">
        <w:rPr>
          <w:rFonts w:ascii="Times New Roman" w:eastAsia="Times New Roman" w:hAnsi="Times New Roman" w:cs="Times New Roman"/>
        </w:rPr>
        <w:t>August,</w:t>
      </w:r>
      <w:proofErr w:type="gramEnd"/>
      <w:r w:rsidR="7992D7BC" w:rsidRPr="390925F2">
        <w:rPr>
          <w:rFonts w:ascii="Times New Roman" w:eastAsia="Times New Roman" w:hAnsi="Times New Roman" w:cs="Times New Roman"/>
        </w:rPr>
        <w:t xml:space="preserve"> 2019).</w:t>
      </w:r>
    </w:p>
    <w:p w14:paraId="16295A46" w14:textId="2F2823F3" w:rsidR="00ED4011" w:rsidRDefault="5679BB28" w:rsidP="085D9774">
      <w:pPr>
        <w:spacing w:before="120" w:after="120" w:line="480" w:lineRule="auto"/>
      </w:pPr>
      <w:r w:rsidRPr="390925F2">
        <w:rPr>
          <w:b/>
          <w:bCs/>
          <w:color w:val="000004"/>
        </w:rPr>
        <w:t xml:space="preserve">Documented Need </w:t>
      </w:r>
      <w:r w:rsidR="7D29B329" w:rsidRPr="390925F2">
        <w:rPr>
          <w:b/>
          <w:bCs/>
          <w:color w:val="000004"/>
        </w:rPr>
        <w:t>for</w:t>
      </w:r>
      <w:r w:rsidRPr="390925F2">
        <w:rPr>
          <w:b/>
          <w:bCs/>
          <w:color w:val="000004"/>
        </w:rPr>
        <w:t xml:space="preserve"> </w:t>
      </w:r>
      <w:r w:rsidR="3430127A" w:rsidRPr="390925F2">
        <w:rPr>
          <w:b/>
          <w:bCs/>
          <w:color w:val="000004"/>
        </w:rPr>
        <w:t>T</w:t>
      </w:r>
      <w:r w:rsidRPr="390925F2">
        <w:rPr>
          <w:b/>
          <w:bCs/>
          <w:color w:val="000004"/>
        </w:rPr>
        <w:t>he Proposal to Improve Approach and Instructional Strategies</w:t>
      </w:r>
    </w:p>
    <w:p w14:paraId="6FE65012" w14:textId="32C962B9" w:rsidR="00ED4011" w:rsidRDefault="66A6CE25" w:rsidP="085D9774">
      <w:pPr>
        <w:spacing w:before="120" w:after="120" w:line="480" w:lineRule="auto"/>
        <w:ind w:firstLine="720"/>
      </w:pPr>
      <w:r w:rsidRPr="085D9774">
        <w:rPr>
          <w:rFonts w:ascii="Times New Roman" w:eastAsia="Times New Roman" w:hAnsi="Times New Roman" w:cs="Times New Roman"/>
        </w:rPr>
        <w:t xml:space="preserve">Translanguaging pedagogy goes further than approaches known as culturally relevant, culturally responsive, or culturally sustaining. Like these models, it also builds on students’ existing knowledge and </w:t>
      </w:r>
      <w:r w:rsidR="6FDF8702" w:rsidRPr="085D9774">
        <w:rPr>
          <w:rFonts w:ascii="Times New Roman" w:eastAsia="Times New Roman" w:hAnsi="Times New Roman" w:cs="Times New Roman"/>
        </w:rPr>
        <w:t>experiences</w:t>
      </w:r>
      <w:r w:rsidR="0B4C3AF4" w:rsidRPr="085D9774">
        <w:rPr>
          <w:rFonts w:ascii="Times New Roman" w:eastAsia="Times New Roman" w:hAnsi="Times New Roman" w:cs="Times New Roman"/>
        </w:rPr>
        <w:t xml:space="preserve">. Translanguaging encompasses sociocultural, sociolinguistic, and multimodal dimensions of learning. Case studies indicate that translanguaging helps multilingual students better comprehend texts, produce a broader range of </w:t>
      </w:r>
      <w:r w:rsidR="0B4C3AF4" w:rsidRPr="085D9774">
        <w:rPr>
          <w:rFonts w:ascii="Times New Roman" w:eastAsia="Times New Roman" w:hAnsi="Times New Roman" w:cs="Times New Roman"/>
        </w:rPr>
        <w:lastRenderedPageBreak/>
        <w:t>written work, build literacy confidence, and cultivate critical language awareness. Furthermore, when students are encouraged to engage deeply with texts, translanguaging can empower minoritized learners to view themselves as literate, foster their social and political development, and advance social justice</w:t>
      </w:r>
      <w:r w:rsidR="497981D7" w:rsidRPr="085D9774">
        <w:rPr>
          <w:rFonts w:ascii="Times New Roman" w:eastAsia="Times New Roman" w:hAnsi="Times New Roman" w:cs="Times New Roman"/>
        </w:rPr>
        <w:t xml:space="preserve">. A translanguaging literacies approach uses strategies like translation and comparing languages in terms of syntax, vocabulary, word choice, cognates, and text structure. These methods help students become more aware of their bilingual skills and make them more engaged with what they read </w:t>
      </w:r>
      <w:r w:rsidR="6FDF8702" w:rsidRPr="085D9774">
        <w:rPr>
          <w:rFonts w:ascii="Times New Roman" w:eastAsia="Times New Roman" w:hAnsi="Times New Roman" w:cs="Times New Roman"/>
        </w:rPr>
        <w:t>(García &amp; Kleifgen, 2020).</w:t>
      </w:r>
    </w:p>
    <w:p w14:paraId="2AADA69D" w14:textId="36CF9AA5" w:rsidR="00ED4011" w:rsidRDefault="0E949D4B" w:rsidP="085D9774">
      <w:pPr>
        <w:spacing w:before="120" w:after="120" w:line="480" w:lineRule="auto"/>
      </w:pPr>
      <w:r w:rsidRPr="085D9774">
        <w:rPr>
          <w:b/>
          <w:bCs/>
        </w:rPr>
        <w:t>I</w:t>
      </w:r>
      <w:r w:rsidR="60A0AD21" w:rsidRPr="085D9774">
        <w:rPr>
          <w:b/>
          <w:bCs/>
        </w:rPr>
        <w:t>nstructional</w:t>
      </w:r>
      <w:r w:rsidR="0F920442" w:rsidRPr="085D9774">
        <w:rPr>
          <w:b/>
          <w:bCs/>
        </w:rPr>
        <w:t xml:space="preserve"> </w:t>
      </w:r>
      <w:r w:rsidR="60A0AD21" w:rsidRPr="085D9774">
        <w:rPr>
          <w:b/>
          <w:bCs/>
        </w:rPr>
        <w:t>Example of Collaborative Groups, Preview-View-</w:t>
      </w:r>
      <w:r w:rsidR="6880766F" w:rsidRPr="085D9774">
        <w:rPr>
          <w:b/>
          <w:bCs/>
        </w:rPr>
        <w:t>Review, and Flexible Notetaking</w:t>
      </w:r>
      <w:r w:rsidR="37D2FF0B" w:rsidRPr="085D9774">
        <w:rPr>
          <w:b/>
          <w:bCs/>
        </w:rPr>
        <w:t>,</w:t>
      </w:r>
      <w:r w:rsidR="6880766F" w:rsidRPr="085D9774">
        <w:rPr>
          <w:b/>
          <w:bCs/>
        </w:rPr>
        <w:t xml:space="preserve"> Brainstorming Strategies </w:t>
      </w:r>
      <w:r w:rsidR="01E28315" w:rsidRPr="085D9774">
        <w:rPr>
          <w:b/>
          <w:bCs/>
        </w:rPr>
        <w:t>A</w:t>
      </w:r>
      <w:r w:rsidR="6880766F" w:rsidRPr="085D9774">
        <w:rPr>
          <w:b/>
          <w:bCs/>
        </w:rPr>
        <w:t xml:space="preserve">ligned </w:t>
      </w:r>
      <w:r w:rsidR="07215B65" w:rsidRPr="085D9774">
        <w:rPr>
          <w:b/>
          <w:bCs/>
        </w:rPr>
        <w:t xml:space="preserve">with a </w:t>
      </w:r>
      <w:r w:rsidR="6AF593F8" w:rsidRPr="085D9774">
        <w:rPr>
          <w:b/>
          <w:bCs/>
        </w:rPr>
        <w:t>Translanguaging Approach</w:t>
      </w:r>
    </w:p>
    <w:p w14:paraId="7C3789CC" w14:textId="1C0FF353" w:rsidR="00ED4011" w:rsidRDefault="2AB86AE6" w:rsidP="085D9774">
      <w:pPr>
        <w:spacing w:before="120" w:after="120" w:line="480" w:lineRule="auto"/>
        <w:ind w:firstLine="720"/>
        <w:jc w:val="both"/>
      </w:pPr>
      <w:r w:rsidRPr="085D9774">
        <w:rPr>
          <w:rFonts w:ascii="Times New Roman" w:eastAsia="Times New Roman" w:hAnsi="Times New Roman" w:cs="Times New Roman"/>
        </w:rPr>
        <w:t>When forming collaborative groups, pair students who speak the same home language with classmates who have different levels of language proficiency. Set up group spaces that encourage students to use multiple languages. Give students roles like multilingual recorders or cross-language clarifiers to show that their language skills are valuable. Also, offer resources such as texts, videos, and articles on the same topic in different languages.</w:t>
      </w:r>
    </w:p>
    <w:p w14:paraId="037D02B8" w14:textId="7DCD4CCB" w:rsidR="00ED4011" w:rsidRDefault="1B409337" w:rsidP="085D9774">
      <w:pPr>
        <w:spacing w:before="120" w:after="120" w:line="480" w:lineRule="auto"/>
        <w:ind w:firstLine="720"/>
        <w:jc w:val="both"/>
      </w:pPr>
      <w:r w:rsidRPr="085D9774">
        <w:rPr>
          <w:rFonts w:ascii="Times New Roman" w:eastAsia="Times New Roman" w:hAnsi="Times New Roman" w:cs="Times New Roman"/>
        </w:rPr>
        <w:t>During the preview phase, the home language is utilized. The teacher pairs students or presents a short video in the home language to activate prior knowledge. Students brainstorm relevant vocabulary in their home language and record their initial ideas. Subsequently, content is presented in both the home language and English. Core instruction is delivered in English, with the teacher employing gestures, labeled diagrams in both languages, and anchor charts to enhance comprehension.</w:t>
      </w:r>
      <w:r w:rsidR="646C6E84" w:rsidRPr="085D9774">
        <w:rPr>
          <w:rFonts w:ascii="Times New Roman" w:eastAsia="Times New Roman" w:hAnsi="Times New Roman" w:cs="Times New Roman"/>
        </w:rPr>
        <w:t xml:space="preserve"> During review activities, implement translanguaging strategies. Students discuss their learning with a partner, utilizing both English and their home language. They address misconceptions by comparing terminology, consulting multilingual glossaries, and confirming their understanding in both languages prior to completing the task.</w:t>
      </w:r>
    </w:p>
    <w:p w14:paraId="14CA6197" w14:textId="7AF23A99" w:rsidR="00ED4011" w:rsidRDefault="196F48DF" w:rsidP="085D9774">
      <w:pPr>
        <w:pStyle w:val="Heading3"/>
        <w:spacing w:before="140" w:after="140" w:line="480" w:lineRule="auto"/>
        <w:ind w:firstLine="720"/>
      </w:pPr>
      <w:r w:rsidRPr="085D9774">
        <w:rPr>
          <w:rFonts w:ascii="Times New Roman" w:eastAsia="Times New Roman" w:hAnsi="Times New Roman" w:cs="Times New Roman"/>
          <w:color w:val="auto"/>
          <w:sz w:val="24"/>
          <w:szCs w:val="24"/>
        </w:rPr>
        <w:lastRenderedPageBreak/>
        <w:t xml:space="preserve">A flexible way for students to take notes and </w:t>
      </w:r>
      <w:r w:rsidR="1C25C1FB" w:rsidRPr="085D9774">
        <w:rPr>
          <w:rFonts w:ascii="Times New Roman" w:eastAsia="Times New Roman" w:hAnsi="Times New Roman" w:cs="Times New Roman"/>
          <w:color w:val="auto"/>
          <w:sz w:val="24"/>
          <w:szCs w:val="24"/>
        </w:rPr>
        <w:t>brainstorms</w:t>
      </w:r>
      <w:r w:rsidRPr="085D9774">
        <w:rPr>
          <w:rFonts w:ascii="Times New Roman" w:eastAsia="Times New Roman" w:hAnsi="Times New Roman" w:cs="Times New Roman"/>
          <w:color w:val="auto"/>
          <w:sz w:val="24"/>
          <w:szCs w:val="24"/>
        </w:rPr>
        <w:t xml:space="preserve"> is to have them write the main idea in a central circle on the page using their home language. Next, they draw lines to connect related subtopics or vocabulary. Students can also add small pictures, symbols, or words from their home language next to English terms. As they learn more, they can move or group the </w:t>
      </w:r>
      <w:r w:rsidR="7291E358" w:rsidRPr="085D9774">
        <w:rPr>
          <w:rFonts w:ascii="Times New Roman" w:eastAsia="Times New Roman" w:hAnsi="Times New Roman" w:cs="Times New Roman"/>
          <w:color w:val="auto"/>
          <w:sz w:val="24"/>
          <w:szCs w:val="24"/>
        </w:rPr>
        <w:t>concept of</w:t>
      </w:r>
      <w:r w:rsidRPr="085D9774">
        <w:rPr>
          <w:rFonts w:ascii="Times New Roman" w:eastAsia="Times New Roman" w:hAnsi="Times New Roman" w:cs="Times New Roman"/>
          <w:color w:val="auto"/>
          <w:sz w:val="24"/>
          <w:szCs w:val="24"/>
        </w:rPr>
        <w:t xml:space="preserve"> bubbles to show new connections.</w:t>
      </w:r>
    </w:p>
    <w:p w14:paraId="326CC4CE" w14:textId="57205575" w:rsidR="00ED4011" w:rsidRDefault="7847FC4E" w:rsidP="085D9774">
      <w:pPr>
        <w:spacing w:before="120" w:after="120" w:line="480" w:lineRule="auto"/>
        <w:ind w:firstLine="720"/>
      </w:pPr>
      <w:r w:rsidRPr="390925F2">
        <w:rPr>
          <w:rFonts w:ascii="Times New Roman" w:eastAsia="Times New Roman" w:hAnsi="Times New Roman" w:cs="Times New Roman"/>
        </w:rPr>
        <w:t>A translanguaging strategy to enhance multilingual students’ comprehension of written texts is to encourage them to annotate texts using their own words and images (García &amp; Kleifgen, 2020).</w:t>
      </w:r>
    </w:p>
    <w:p w14:paraId="335291D7" w14:textId="654CA6F3" w:rsidR="00ED4011" w:rsidRDefault="411D52CA" w:rsidP="390925F2">
      <w:pPr>
        <w:pStyle w:val="Heading3"/>
        <w:spacing w:before="140" w:after="140" w:line="480" w:lineRule="auto"/>
      </w:pPr>
      <w:r w:rsidRPr="390925F2">
        <w:rPr>
          <w:rFonts w:ascii="Times New Roman" w:eastAsia="Times New Roman" w:hAnsi="Times New Roman" w:cs="Times New Roman"/>
          <w:b/>
          <w:bCs/>
          <w:i/>
          <w:iCs/>
          <w:color w:val="auto"/>
          <w:sz w:val="24"/>
          <w:szCs w:val="24"/>
        </w:rPr>
        <w:t xml:space="preserve">Timeline and </w:t>
      </w:r>
      <w:r w:rsidR="69AB8DDA" w:rsidRPr="390925F2">
        <w:rPr>
          <w:rFonts w:ascii="Times New Roman" w:eastAsia="Times New Roman" w:hAnsi="Times New Roman" w:cs="Times New Roman"/>
          <w:b/>
          <w:bCs/>
          <w:i/>
          <w:iCs/>
          <w:color w:val="auto"/>
          <w:sz w:val="24"/>
          <w:szCs w:val="24"/>
        </w:rPr>
        <w:t>I</w:t>
      </w:r>
      <w:r w:rsidRPr="390925F2">
        <w:rPr>
          <w:rFonts w:ascii="Times New Roman" w:eastAsia="Times New Roman" w:hAnsi="Times New Roman" w:cs="Times New Roman"/>
          <w:b/>
          <w:bCs/>
          <w:i/>
          <w:iCs/>
          <w:color w:val="auto"/>
          <w:sz w:val="24"/>
          <w:szCs w:val="24"/>
        </w:rPr>
        <w:t xml:space="preserve">mplementation </w:t>
      </w:r>
      <w:r w:rsidR="3A1CEFDD" w:rsidRPr="390925F2">
        <w:rPr>
          <w:rFonts w:ascii="Times New Roman" w:eastAsia="Times New Roman" w:hAnsi="Times New Roman" w:cs="Times New Roman"/>
          <w:b/>
          <w:bCs/>
          <w:i/>
          <w:iCs/>
          <w:color w:val="auto"/>
          <w:sz w:val="24"/>
          <w:szCs w:val="24"/>
        </w:rPr>
        <w:t>P</w:t>
      </w:r>
      <w:r w:rsidRPr="390925F2">
        <w:rPr>
          <w:rFonts w:ascii="Times New Roman" w:eastAsia="Times New Roman" w:hAnsi="Times New Roman" w:cs="Times New Roman"/>
          <w:b/>
          <w:bCs/>
          <w:i/>
          <w:iCs/>
          <w:color w:val="auto"/>
          <w:sz w:val="24"/>
          <w:szCs w:val="24"/>
        </w:rPr>
        <w:t xml:space="preserve">lan for </w:t>
      </w:r>
      <w:r w:rsidR="4526DE5A" w:rsidRPr="390925F2">
        <w:rPr>
          <w:rFonts w:ascii="Times New Roman" w:eastAsia="Times New Roman" w:hAnsi="Times New Roman" w:cs="Times New Roman"/>
          <w:b/>
          <w:bCs/>
          <w:i/>
          <w:iCs/>
          <w:color w:val="auto"/>
          <w:sz w:val="24"/>
          <w:szCs w:val="24"/>
        </w:rPr>
        <w:t>K</w:t>
      </w:r>
      <w:r w:rsidRPr="390925F2">
        <w:rPr>
          <w:rFonts w:ascii="Times New Roman" w:eastAsia="Times New Roman" w:hAnsi="Times New Roman" w:cs="Times New Roman"/>
          <w:b/>
          <w:bCs/>
          <w:i/>
          <w:iCs/>
          <w:color w:val="auto"/>
          <w:sz w:val="24"/>
          <w:szCs w:val="24"/>
        </w:rPr>
        <w:t xml:space="preserve">ey </w:t>
      </w:r>
      <w:r w:rsidR="68140A0E" w:rsidRPr="390925F2">
        <w:rPr>
          <w:rFonts w:ascii="Times New Roman" w:eastAsia="Times New Roman" w:hAnsi="Times New Roman" w:cs="Times New Roman"/>
          <w:b/>
          <w:bCs/>
          <w:i/>
          <w:iCs/>
          <w:color w:val="auto"/>
          <w:sz w:val="24"/>
          <w:szCs w:val="24"/>
        </w:rPr>
        <w:t>P</w:t>
      </w:r>
      <w:r w:rsidRPr="390925F2">
        <w:rPr>
          <w:rFonts w:ascii="Times New Roman" w:eastAsia="Times New Roman" w:hAnsi="Times New Roman" w:cs="Times New Roman"/>
          <w:b/>
          <w:bCs/>
          <w:i/>
          <w:iCs/>
          <w:color w:val="auto"/>
          <w:sz w:val="24"/>
          <w:szCs w:val="24"/>
        </w:rPr>
        <w:t xml:space="preserve">roposal </w:t>
      </w:r>
      <w:r w:rsidR="69F80E16" w:rsidRPr="390925F2">
        <w:rPr>
          <w:rFonts w:ascii="Times New Roman" w:eastAsia="Times New Roman" w:hAnsi="Times New Roman" w:cs="Times New Roman"/>
          <w:b/>
          <w:bCs/>
          <w:i/>
          <w:iCs/>
          <w:color w:val="auto"/>
          <w:sz w:val="24"/>
          <w:szCs w:val="24"/>
        </w:rPr>
        <w:t>C</w:t>
      </w:r>
      <w:r w:rsidRPr="390925F2">
        <w:rPr>
          <w:rFonts w:ascii="Times New Roman" w:eastAsia="Times New Roman" w:hAnsi="Times New Roman" w:cs="Times New Roman"/>
          <w:b/>
          <w:bCs/>
          <w:i/>
          <w:iCs/>
          <w:color w:val="auto"/>
          <w:sz w:val="24"/>
          <w:szCs w:val="24"/>
        </w:rPr>
        <w:t xml:space="preserve">omponents, </w:t>
      </w:r>
      <w:r w:rsidR="566DAE87" w:rsidRPr="390925F2">
        <w:rPr>
          <w:rFonts w:ascii="Times New Roman" w:eastAsia="Times New Roman" w:hAnsi="Times New Roman" w:cs="Times New Roman"/>
          <w:b/>
          <w:bCs/>
          <w:i/>
          <w:iCs/>
          <w:color w:val="auto"/>
          <w:sz w:val="24"/>
          <w:szCs w:val="24"/>
        </w:rPr>
        <w:t>A</w:t>
      </w:r>
      <w:r w:rsidRPr="390925F2">
        <w:rPr>
          <w:rFonts w:ascii="Times New Roman" w:eastAsia="Times New Roman" w:hAnsi="Times New Roman" w:cs="Times New Roman"/>
          <w:b/>
          <w:bCs/>
          <w:i/>
          <w:iCs/>
          <w:color w:val="auto"/>
          <w:sz w:val="24"/>
          <w:szCs w:val="24"/>
        </w:rPr>
        <w:t xml:space="preserve">long with </w:t>
      </w:r>
      <w:r w:rsidR="4E4BE18C" w:rsidRPr="390925F2">
        <w:rPr>
          <w:rFonts w:ascii="Times New Roman" w:eastAsia="Times New Roman" w:hAnsi="Times New Roman" w:cs="Times New Roman"/>
          <w:b/>
          <w:bCs/>
          <w:i/>
          <w:iCs/>
          <w:color w:val="auto"/>
          <w:sz w:val="24"/>
          <w:szCs w:val="24"/>
        </w:rPr>
        <w:t>M</w:t>
      </w:r>
      <w:r w:rsidRPr="390925F2">
        <w:rPr>
          <w:rFonts w:ascii="Times New Roman" w:eastAsia="Times New Roman" w:hAnsi="Times New Roman" w:cs="Times New Roman"/>
          <w:b/>
          <w:bCs/>
          <w:i/>
          <w:iCs/>
          <w:color w:val="auto"/>
          <w:sz w:val="24"/>
          <w:szCs w:val="24"/>
        </w:rPr>
        <w:t xml:space="preserve">easures to </w:t>
      </w:r>
      <w:r w:rsidR="086AE658" w:rsidRPr="390925F2">
        <w:rPr>
          <w:rFonts w:ascii="Times New Roman" w:eastAsia="Times New Roman" w:hAnsi="Times New Roman" w:cs="Times New Roman"/>
          <w:b/>
          <w:bCs/>
          <w:i/>
          <w:iCs/>
          <w:color w:val="auto"/>
          <w:sz w:val="24"/>
          <w:szCs w:val="24"/>
        </w:rPr>
        <w:t>M</w:t>
      </w:r>
      <w:r w:rsidRPr="390925F2">
        <w:rPr>
          <w:rFonts w:ascii="Times New Roman" w:eastAsia="Times New Roman" w:hAnsi="Times New Roman" w:cs="Times New Roman"/>
          <w:b/>
          <w:bCs/>
          <w:i/>
          <w:iCs/>
          <w:color w:val="auto"/>
          <w:sz w:val="24"/>
          <w:szCs w:val="24"/>
        </w:rPr>
        <w:t xml:space="preserve">onitor </w:t>
      </w:r>
      <w:r w:rsidR="46C585F3" w:rsidRPr="390925F2">
        <w:rPr>
          <w:rFonts w:ascii="Times New Roman" w:eastAsia="Times New Roman" w:hAnsi="Times New Roman" w:cs="Times New Roman"/>
          <w:b/>
          <w:bCs/>
          <w:i/>
          <w:iCs/>
          <w:color w:val="auto"/>
          <w:sz w:val="24"/>
          <w:szCs w:val="24"/>
        </w:rPr>
        <w:t>O</w:t>
      </w:r>
      <w:r w:rsidRPr="390925F2">
        <w:rPr>
          <w:rFonts w:ascii="Times New Roman" w:eastAsia="Times New Roman" w:hAnsi="Times New Roman" w:cs="Times New Roman"/>
          <w:b/>
          <w:bCs/>
          <w:i/>
          <w:iCs/>
          <w:color w:val="auto"/>
          <w:sz w:val="24"/>
          <w:szCs w:val="24"/>
        </w:rPr>
        <w:t xml:space="preserve">verall </w:t>
      </w:r>
      <w:r w:rsidR="40AE91D7" w:rsidRPr="390925F2">
        <w:rPr>
          <w:rFonts w:ascii="Times New Roman" w:eastAsia="Times New Roman" w:hAnsi="Times New Roman" w:cs="Times New Roman"/>
          <w:b/>
          <w:bCs/>
          <w:i/>
          <w:iCs/>
          <w:color w:val="auto"/>
          <w:sz w:val="24"/>
          <w:szCs w:val="24"/>
        </w:rPr>
        <w:t>P</w:t>
      </w:r>
      <w:r w:rsidRPr="390925F2">
        <w:rPr>
          <w:rFonts w:ascii="Times New Roman" w:eastAsia="Times New Roman" w:hAnsi="Times New Roman" w:cs="Times New Roman"/>
          <w:b/>
          <w:bCs/>
          <w:i/>
          <w:iCs/>
          <w:color w:val="auto"/>
          <w:sz w:val="24"/>
          <w:szCs w:val="24"/>
        </w:rPr>
        <w:t xml:space="preserve">rogram </w:t>
      </w:r>
      <w:r w:rsidR="33512835" w:rsidRPr="390925F2">
        <w:rPr>
          <w:rFonts w:ascii="Times New Roman" w:eastAsia="Times New Roman" w:hAnsi="Times New Roman" w:cs="Times New Roman"/>
          <w:b/>
          <w:bCs/>
          <w:i/>
          <w:iCs/>
          <w:color w:val="auto"/>
          <w:sz w:val="24"/>
          <w:szCs w:val="24"/>
        </w:rPr>
        <w:t>P</w:t>
      </w:r>
      <w:r w:rsidRPr="390925F2">
        <w:rPr>
          <w:rFonts w:ascii="Times New Roman" w:eastAsia="Times New Roman" w:hAnsi="Times New Roman" w:cs="Times New Roman"/>
          <w:b/>
          <w:bCs/>
          <w:i/>
          <w:iCs/>
          <w:color w:val="auto"/>
          <w:sz w:val="24"/>
          <w:szCs w:val="24"/>
        </w:rPr>
        <w:t>rogress</w:t>
      </w:r>
    </w:p>
    <w:p w14:paraId="1ADE604B" w14:textId="635D90A9" w:rsidR="00ED4011" w:rsidRDefault="724C8927" w:rsidP="390925F2">
      <w:pPr>
        <w:spacing w:before="120" w:after="120" w:line="480" w:lineRule="auto"/>
        <w:ind w:firstLine="720"/>
      </w:pPr>
      <w:r w:rsidRPr="390925F2">
        <w:rPr>
          <w:rFonts w:ascii="Times New Roman" w:eastAsia="Times New Roman" w:hAnsi="Times New Roman" w:cs="Times New Roman"/>
        </w:rPr>
        <w:t xml:space="preserve">Phase 1 focuses on preparation and setup, and we expect this stage to take about six months. We will allocate the budget, assign staff, and gather resources. To track our progress, we will collect data throughout this phase. All team members will attend onboarding sessions to </w:t>
      </w:r>
      <w:r w:rsidR="47A19005" w:rsidRPr="390925F2">
        <w:rPr>
          <w:rFonts w:ascii="Times New Roman" w:eastAsia="Times New Roman" w:hAnsi="Times New Roman" w:cs="Times New Roman"/>
        </w:rPr>
        <w:t>learn about</w:t>
      </w:r>
      <w:r w:rsidRPr="390925F2">
        <w:rPr>
          <w:rFonts w:ascii="Times New Roman" w:eastAsia="Times New Roman" w:hAnsi="Times New Roman" w:cs="Times New Roman"/>
        </w:rPr>
        <w:t xml:space="preserve"> the new protocols, and we will communicate program goals and timelines to stakeholders. In phase 2, we will complete the evaluation within a year. The audit will compare year-end results with our baseline data and plans</w:t>
      </w:r>
      <w:r w:rsidR="79797D2D" w:rsidRPr="390925F2">
        <w:rPr>
          <w:rFonts w:ascii="Times New Roman" w:eastAsia="Times New Roman" w:hAnsi="Times New Roman" w:cs="Times New Roman"/>
        </w:rPr>
        <w:t>, and</w:t>
      </w:r>
      <w:r w:rsidRPr="390925F2">
        <w:rPr>
          <w:rFonts w:ascii="Times New Roman" w:eastAsia="Times New Roman" w:hAnsi="Times New Roman" w:cs="Times New Roman"/>
        </w:rPr>
        <w:t xml:space="preserve"> record lessons learned to help guide future growth.</w:t>
      </w:r>
    </w:p>
    <w:p w14:paraId="7BFA6018" w14:textId="2CB19025" w:rsidR="00ED4011" w:rsidRDefault="00ED4011" w:rsidP="390925F2">
      <w:pPr>
        <w:spacing w:before="120" w:after="120" w:line="480" w:lineRule="auto"/>
        <w:ind w:firstLine="720"/>
        <w:rPr>
          <w:rFonts w:ascii="Times New Roman" w:eastAsia="Times New Roman" w:hAnsi="Times New Roman" w:cs="Times New Roman"/>
        </w:rPr>
      </w:pPr>
    </w:p>
    <w:p w14:paraId="2307C098" w14:textId="4A6CABE2" w:rsidR="00ED4011" w:rsidRDefault="00ED4011" w:rsidP="390925F2">
      <w:pPr>
        <w:rPr>
          <w:b/>
          <w:bCs/>
        </w:rPr>
      </w:pPr>
    </w:p>
    <w:p w14:paraId="6B6D4EEE" w14:textId="77777777" w:rsidR="007C76A6" w:rsidRDefault="007C76A6" w:rsidP="390925F2">
      <w:pPr>
        <w:jc w:val="center"/>
        <w:rPr>
          <w:b/>
          <w:bCs/>
        </w:rPr>
      </w:pPr>
    </w:p>
    <w:p w14:paraId="70F9FCC7" w14:textId="77777777" w:rsidR="007C76A6" w:rsidRDefault="007C76A6" w:rsidP="390925F2">
      <w:pPr>
        <w:jc w:val="center"/>
        <w:rPr>
          <w:b/>
          <w:bCs/>
        </w:rPr>
      </w:pPr>
    </w:p>
    <w:p w14:paraId="1A1937E3" w14:textId="77777777" w:rsidR="007C76A6" w:rsidRDefault="007C76A6" w:rsidP="390925F2">
      <w:pPr>
        <w:jc w:val="center"/>
        <w:rPr>
          <w:b/>
          <w:bCs/>
        </w:rPr>
      </w:pPr>
    </w:p>
    <w:p w14:paraId="10052A5A" w14:textId="77777777" w:rsidR="007C76A6" w:rsidRDefault="007C76A6" w:rsidP="390925F2">
      <w:pPr>
        <w:jc w:val="center"/>
        <w:rPr>
          <w:b/>
          <w:bCs/>
        </w:rPr>
      </w:pPr>
    </w:p>
    <w:p w14:paraId="121A3535" w14:textId="5481BB8E" w:rsidR="00ED4011" w:rsidRDefault="6CAD3806" w:rsidP="390925F2">
      <w:pPr>
        <w:jc w:val="center"/>
      </w:pPr>
      <w:r w:rsidRPr="390925F2">
        <w:rPr>
          <w:b/>
          <w:bCs/>
        </w:rPr>
        <w:lastRenderedPageBreak/>
        <w:t>References</w:t>
      </w:r>
    </w:p>
    <w:p w14:paraId="24DB35D4" w14:textId="6D76185C" w:rsidR="00ED4011" w:rsidRDefault="177259A5" w:rsidP="390925F2">
      <w:pPr>
        <w:spacing w:before="120" w:after="120" w:line="480" w:lineRule="auto"/>
      </w:pPr>
      <w:r w:rsidRPr="390925F2">
        <w:rPr>
          <w:rFonts w:ascii="Times New Roman" w:eastAsia="Times New Roman" w:hAnsi="Times New Roman" w:cs="Times New Roman"/>
        </w:rPr>
        <w:t xml:space="preserve">August, D. (2019). Educating English language learners. </w:t>
      </w:r>
      <w:r w:rsidRPr="390925F2">
        <w:rPr>
          <w:rFonts w:ascii="Times New Roman" w:eastAsia="Times New Roman" w:hAnsi="Times New Roman" w:cs="Times New Roman"/>
          <w:i/>
          <w:iCs/>
        </w:rPr>
        <w:t>Education Digest</w:t>
      </w:r>
      <w:r w:rsidRPr="390925F2">
        <w:rPr>
          <w:rFonts w:ascii="Times New Roman" w:eastAsia="Times New Roman" w:hAnsi="Times New Roman" w:cs="Times New Roman"/>
        </w:rPr>
        <w:t xml:space="preserve">, </w:t>
      </w:r>
      <w:r w:rsidRPr="390925F2">
        <w:rPr>
          <w:rFonts w:ascii="Times New Roman" w:eastAsia="Times New Roman" w:hAnsi="Times New Roman" w:cs="Times New Roman"/>
          <w:i/>
          <w:iCs/>
        </w:rPr>
        <w:t>84</w:t>
      </w:r>
      <w:r w:rsidRPr="390925F2">
        <w:rPr>
          <w:rFonts w:ascii="Times New Roman" w:eastAsia="Times New Roman" w:hAnsi="Times New Roman" w:cs="Times New Roman"/>
        </w:rPr>
        <w:t>(8), 12–20.</w:t>
      </w:r>
    </w:p>
    <w:p w14:paraId="452C8D45" w14:textId="44330852" w:rsidR="00ED4011" w:rsidRDefault="19822060" w:rsidP="390925F2">
      <w:pPr>
        <w:spacing w:before="120" w:after="120" w:line="480" w:lineRule="auto"/>
      </w:pPr>
      <w:r w:rsidRPr="390925F2">
        <w:rPr>
          <w:rFonts w:ascii="Times New Roman" w:eastAsia="Times New Roman" w:hAnsi="Times New Roman" w:cs="Times New Roman"/>
        </w:rPr>
        <w:t xml:space="preserve">García, O., &amp; Kleifgen, J. A. (2020). Translanguaging and literacies. </w:t>
      </w:r>
      <w:r w:rsidRPr="390925F2">
        <w:rPr>
          <w:rFonts w:ascii="Times New Roman" w:eastAsia="Times New Roman" w:hAnsi="Times New Roman" w:cs="Times New Roman"/>
          <w:i/>
          <w:iCs/>
        </w:rPr>
        <w:t>Reading Research</w:t>
      </w:r>
    </w:p>
    <w:p w14:paraId="491022B2" w14:textId="78A86C3C" w:rsidR="00ED4011" w:rsidRDefault="624E2605" w:rsidP="085D9774">
      <w:pPr>
        <w:spacing w:before="120" w:after="120" w:line="480" w:lineRule="auto"/>
        <w:ind w:firstLine="720"/>
      </w:pPr>
      <w:r w:rsidRPr="085D9774">
        <w:rPr>
          <w:rFonts w:ascii="Times New Roman" w:eastAsia="Times New Roman" w:hAnsi="Times New Roman" w:cs="Times New Roman"/>
          <w:i/>
          <w:iCs/>
        </w:rPr>
        <w:t xml:space="preserve"> Quarterly,</w:t>
      </w:r>
      <w:r w:rsidRPr="085D9774">
        <w:rPr>
          <w:rFonts w:ascii="Times New Roman" w:eastAsia="Times New Roman" w:hAnsi="Times New Roman" w:cs="Times New Roman"/>
        </w:rPr>
        <w:t xml:space="preserve"> </w:t>
      </w:r>
      <w:r w:rsidRPr="085D9774">
        <w:rPr>
          <w:rFonts w:ascii="Times New Roman" w:eastAsia="Times New Roman" w:hAnsi="Times New Roman" w:cs="Times New Roman"/>
          <w:i/>
          <w:iCs/>
        </w:rPr>
        <w:t>55</w:t>
      </w:r>
      <w:r w:rsidRPr="085D9774">
        <w:rPr>
          <w:rFonts w:ascii="Times New Roman" w:eastAsia="Times New Roman" w:hAnsi="Times New Roman" w:cs="Times New Roman"/>
        </w:rPr>
        <w:t xml:space="preserve">(4), 553–571. </w:t>
      </w:r>
      <w:hyperlink r:id="rId4">
        <w:r w:rsidRPr="085D9774">
          <w:rPr>
            <w:rStyle w:val="Hyperlink"/>
          </w:rPr>
          <w:t>https://doi.org/10.1002/rrq.286</w:t>
        </w:r>
      </w:hyperlink>
    </w:p>
    <w:p w14:paraId="28AB9425" w14:textId="6C5DC7A2" w:rsidR="00ED4011" w:rsidRDefault="00ED4011" w:rsidP="085D9774">
      <w:pPr>
        <w:spacing w:before="120" w:after="120" w:line="480" w:lineRule="auto"/>
        <w:ind w:firstLine="720"/>
      </w:pPr>
    </w:p>
    <w:p w14:paraId="62AA4C84" w14:textId="0ACD8D0D" w:rsidR="00ED4011" w:rsidRDefault="00ED4011" w:rsidP="085D9774">
      <w:pPr>
        <w:spacing w:before="120" w:after="120"/>
      </w:pPr>
    </w:p>
    <w:p w14:paraId="15227A1B" w14:textId="3E8D5642" w:rsidR="00ED4011" w:rsidRDefault="00ED4011" w:rsidP="085D9774">
      <w:pPr>
        <w:jc w:val="center"/>
        <w:rPr>
          <w:b/>
          <w:bCs/>
        </w:rPr>
      </w:pPr>
    </w:p>
    <w:p w14:paraId="3AFDA03C" w14:textId="0531773B" w:rsidR="00ED4011" w:rsidRDefault="00ED4011" w:rsidP="085D9774"/>
    <w:p w14:paraId="740AF59A" w14:textId="7762A14E" w:rsidR="00ED4011" w:rsidRDefault="00ED4011" w:rsidP="085D9774"/>
    <w:p w14:paraId="14BF0E24" w14:textId="4E122ED0" w:rsidR="00ED4011" w:rsidRDefault="00ED4011" w:rsidP="085D9774"/>
    <w:p w14:paraId="5D151747" w14:textId="5F4BB7D2" w:rsidR="00ED4011" w:rsidRDefault="00ED4011" w:rsidP="085D9774">
      <w:pPr>
        <w:jc w:val="center"/>
      </w:pPr>
    </w:p>
    <w:p w14:paraId="12865FE6" w14:textId="1B76F2EE" w:rsidR="00ED4011" w:rsidRDefault="00ED4011" w:rsidP="085D9774">
      <w:pPr>
        <w:jc w:val="center"/>
      </w:pPr>
    </w:p>
    <w:p w14:paraId="0714D70D" w14:textId="31262648" w:rsidR="00ED4011" w:rsidRDefault="00ED4011" w:rsidP="085D9774">
      <w:pPr>
        <w:jc w:val="center"/>
      </w:pPr>
    </w:p>
    <w:p w14:paraId="7C27813D" w14:textId="6A33290E" w:rsidR="00ED4011" w:rsidRDefault="00ED4011" w:rsidP="085D9774">
      <w:pPr>
        <w:jc w:val="center"/>
      </w:pPr>
    </w:p>
    <w:p w14:paraId="26128FFA" w14:textId="6A975E40" w:rsidR="00ED4011" w:rsidRDefault="00ED4011" w:rsidP="085D9774">
      <w:pPr>
        <w:jc w:val="center"/>
      </w:pPr>
    </w:p>
    <w:p w14:paraId="64267222" w14:textId="70B207DD" w:rsidR="00ED4011" w:rsidRDefault="00ED4011" w:rsidP="085D9774">
      <w:pPr>
        <w:jc w:val="center"/>
      </w:pPr>
    </w:p>
    <w:p w14:paraId="555D0A02" w14:textId="20A59590" w:rsidR="00ED4011" w:rsidRDefault="00ED4011" w:rsidP="085D9774">
      <w:pPr>
        <w:jc w:val="center"/>
      </w:pPr>
    </w:p>
    <w:p w14:paraId="41BC633D" w14:textId="595333AB" w:rsidR="00ED4011" w:rsidRDefault="00ED4011" w:rsidP="085D9774">
      <w:pPr>
        <w:jc w:val="center"/>
      </w:pPr>
    </w:p>
    <w:p w14:paraId="200B5740" w14:textId="1F7E0704" w:rsidR="00ED4011" w:rsidRDefault="00ED4011" w:rsidP="085D9774">
      <w:pPr>
        <w:jc w:val="center"/>
      </w:pPr>
    </w:p>
    <w:p w14:paraId="45460989" w14:textId="215B92B8" w:rsidR="00ED4011" w:rsidRDefault="00ED4011" w:rsidP="085D9774">
      <w:pPr>
        <w:jc w:val="center"/>
      </w:pPr>
    </w:p>
    <w:p w14:paraId="0E4100F4" w14:textId="38C50DF7" w:rsidR="00ED4011" w:rsidRDefault="00ED4011" w:rsidP="085D9774">
      <w:pPr>
        <w:jc w:val="center"/>
      </w:pPr>
    </w:p>
    <w:p w14:paraId="1E7BA308" w14:textId="06DE503D" w:rsidR="00ED4011" w:rsidRDefault="00ED4011" w:rsidP="085D9774">
      <w:pPr>
        <w:jc w:val="center"/>
      </w:pPr>
    </w:p>
    <w:p w14:paraId="37BF2710" w14:textId="6BA4D219" w:rsidR="00ED4011" w:rsidRDefault="00ED4011" w:rsidP="085D9774">
      <w:pPr>
        <w:jc w:val="center"/>
      </w:pPr>
    </w:p>
    <w:p w14:paraId="0D8B877E" w14:textId="3A6DF09B" w:rsidR="00ED4011" w:rsidRDefault="00ED4011" w:rsidP="085D9774">
      <w:pPr>
        <w:jc w:val="center"/>
      </w:pPr>
    </w:p>
    <w:p w14:paraId="75C25DE7" w14:textId="20E36A61" w:rsidR="00ED4011" w:rsidRDefault="00ED4011" w:rsidP="085D9774">
      <w:pPr>
        <w:jc w:val="center"/>
      </w:pPr>
    </w:p>
    <w:p w14:paraId="58225BC0" w14:textId="4CA0CA65" w:rsidR="00ED4011" w:rsidRDefault="00ED4011" w:rsidP="085D9774">
      <w:pPr>
        <w:jc w:val="center"/>
      </w:pPr>
    </w:p>
    <w:p w14:paraId="584EBE40" w14:textId="0090AE42" w:rsidR="00ED4011" w:rsidRDefault="00ED4011" w:rsidP="085D9774">
      <w:pPr>
        <w:jc w:val="center"/>
      </w:pPr>
    </w:p>
    <w:p w14:paraId="477FDFA8" w14:textId="4296716E" w:rsidR="00ED4011" w:rsidRDefault="00ED4011" w:rsidP="085D9774">
      <w:pPr>
        <w:jc w:val="center"/>
      </w:pPr>
    </w:p>
    <w:p w14:paraId="4802DA9A" w14:textId="0DA4C699" w:rsidR="00ED4011" w:rsidRDefault="00ED4011" w:rsidP="085D9774">
      <w:pPr>
        <w:jc w:val="center"/>
      </w:pPr>
    </w:p>
    <w:p w14:paraId="36029272" w14:textId="329F23E5" w:rsidR="00ED4011" w:rsidRDefault="00ED4011" w:rsidP="085D9774">
      <w:pPr>
        <w:jc w:val="center"/>
      </w:pPr>
    </w:p>
    <w:p w14:paraId="6FF4A21C" w14:textId="70CE38B6" w:rsidR="00ED4011" w:rsidRDefault="00ED4011" w:rsidP="085D9774"/>
    <w:p w14:paraId="2C078E63" w14:textId="59AD3F86" w:rsidR="00ED4011" w:rsidRDefault="00ED4011"/>
    <w:sectPr w:rsidR="00ED40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635723"/>
    <w:rsid w:val="006178DE"/>
    <w:rsid w:val="007C76A6"/>
    <w:rsid w:val="0088A78F"/>
    <w:rsid w:val="00ED4011"/>
    <w:rsid w:val="01764D8E"/>
    <w:rsid w:val="01E28315"/>
    <w:rsid w:val="02E56582"/>
    <w:rsid w:val="040A5843"/>
    <w:rsid w:val="04B601AE"/>
    <w:rsid w:val="04D4D789"/>
    <w:rsid w:val="066F3D29"/>
    <w:rsid w:val="07215B65"/>
    <w:rsid w:val="0741E8E2"/>
    <w:rsid w:val="07AE6CBE"/>
    <w:rsid w:val="082ED039"/>
    <w:rsid w:val="085D8A39"/>
    <w:rsid w:val="085D9774"/>
    <w:rsid w:val="086AE658"/>
    <w:rsid w:val="08C8B81C"/>
    <w:rsid w:val="09000C3B"/>
    <w:rsid w:val="09DE8F02"/>
    <w:rsid w:val="09E13C0A"/>
    <w:rsid w:val="0A5BBAC8"/>
    <w:rsid w:val="0B4C3AF4"/>
    <w:rsid w:val="0CA73CBD"/>
    <w:rsid w:val="0DB8420D"/>
    <w:rsid w:val="0E949D4B"/>
    <w:rsid w:val="0F920442"/>
    <w:rsid w:val="10A51331"/>
    <w:rsid w:val="11846A8C"/>
    <w:rsid w:val="12E56FAE"/>
    <w:rsid w:val="14E15E83"/>
    <w:rsid w:val="16CD2024"/>
    <w:rsid w:val="17148A39"/>
    <w:rsid w:val="177259A5"/>
    <w:rsid w:val="1924E3C2"/>
    <w:rsid w:val="1935D50E"/>
    <w:rsid w:val="196F48DF"/>
    <w:rsid w:val="19822060"/>
    <w:rsid w:val="1AABAFC0"/>
    <w:rsid w:val="1B409337"/>
    <w:rsid w:val="1B4A0AFB"/>
    <w:rsid w:val="1C25C1FB"/>
    <w:rsid w:val="1C3E976E"/>
    <w:rsid w:val="1D32C39E"/>
    <w:rsid w:val="1DDAC143"/>
    <w:rsid w:val="1DDE1FD5"/>
    <w:rsid w:val="1DFD2253"/>
    <w:rsid w:val="1E9DCA44"/>
    <w:rsid w:val="1EE3AD59"/>
    <w:rsid w:val="1F9EF191"/>
    <w:rsid w:val="1FA1F80D"/>
    <w:rsid w:val="20A763AA"/>
    <w:rsid w:val="224F6084"/>
    <w:rsid w:val="2303666C"/>
    <w:rsid w:val="243BB43D"/>
    <w:rsid w:val="24877C11"/>
    <w:rsid w:val="24C720C5"/>
    <w:rsid w:val="24E13E4E"/>
    <w:rsid w:val="2652EFAC"/>
    <w:rsid w:val="2AB86AE6"/>
    <w:rsid w:val="2B6F2A7F"/>
    <w:rsid w:val="2E304917"/>
    <w:rsid w:val="2ED8831E"/>
    <w:rsid w:val="2F678392"/>
    <w:rsid w:val="2F8DAE73"/>
    <w:rsid w:val="3099B6A7"/>
    <w:rsid w:val="3206A968"/>
    <w:rsid w:val="323CB780"/>
    <w:rsid w:val="33262899"/>
    <w:rsid w:val="33512835"/>
    <w:rsid w:val="3430127A"/>
    <w:rsid w:val="36FB8908"/>
    <w:rsid w:val="376E2B99"/>
    <w:rsid w:val="37D2FF0B"/>
    <w:rsid w:val="3890A7B9"/>
    <w:rsid w:val="390925F2"/>
    <w:rsid w:val="39FC8969"/>
    <w:rsid w:val="3A1CEFDD"/>
    <w:rsid w:val="3CCB1709"/>
    <w:rsid w:val="3D11C898"/>
    <w:rsid w:val="3D58BA51"/>
    <w:rsid w:val="3FE5B7A9"/>
    <w:rsid w:val="401505A6"/>
    <w:rsid w:val="405C0C6F"/>
    <w:rsid w:val="40AE91D7"/>
    <w:rsid w:val="411D52CA"/>
    <w:rsid w:val="417BBD87"/>
    <w:rsid w:val="42BF261D"/>
    <w:rsid w:val="4468BE10"/>
    <w:rsid w:val="4526DE5A"/>
    <w:rsid w:val="460BEF3E"/>
    <w:rsid w:val="46B8CAB7"/>
    <w:rsid w:val="46C585F3"/>
    <w:rsid w:val="46CA1607"/>
    <w:rsid w:val="47A19005"/>
    <w:rsid w:val="48940C6F"/>
    <w:rsid w:val="48956160"/>
    <w:rsid w:val="49641EB3"/>
    <w:rsid w:val="497981D7"/>
    <w:rsid w:val="49EC7E8E"/>
    <w:rsid w:val="4B92B97E"/>
    <w:rsid w:val="4BA33321"/>
    <w:rsid w:val="4CAA2917"/>
    <w:rsid w:val="4E4BE18C"/>
    <w:rsid w:val="4EAD48C6"/>
    <w:rsid w:val="514D5EF8"/>
    <w:rsid w:val="5432D6AA"/>
    <w:rsid w:val="54F024CF"/>
    <w:rsid w:val="5504568E"/>
    <w:rsid w:val="566DAE87"/>
    <w:rsid w:val="5679BB28"/>
    <w:rsid w:val="56D4796E"/>
    <w:rsid w:val="57494C2C"/>
    <w:rsid w:val="574FF510"/>
    <w:rsid w:val="579F8446"/>
    <w:rsid w:val="5969D49D"/>
    <w:rsid w:val="5987E788"/>
    <w:rsid w:val="5A581895"/>
    <w:rsid w:val="5ABF3229"/>
    <w:rsid w:val="5B3BAC47"/>
    <w:rsid w:val="5BDF2A7B"/>
    <w:rsid w:val="5D012E09"/>
    <w:rsid w:val="5E6A1A57"/>
    <w:rsid w:val="60A0AD21"/>
    <w:rsid w:val="60AE5DF9"/>
    <w:rsid w:val="61A4BA15"/>
    <w:rsid w:val="61E7BDA9"/>
    <w:rsid w:val="624E2605"/>
    <w:rsid w:val="638046C6"/>
    <w:rsid w:val="63C1DBBF"/>
    <w:rsid w:val="646C6E84"/>
    <w:rsid w:val="65A4C995"/>
    <w:rsid w:val="66775FCB"/>
    <w:rsid w:val="66A2AE99"/>
    <w:rsid w:val="66A6CE25"/>
    <w:rsid w:val="68140A0E"/>
    <w:rsid w:val="687102A5"/>
    <w:rsid w:val="6880766F"/>
    <w:rsid w:val="69AB8DDA"/>
    <w:rsid w:val="69ABD5D2"/>
    <w:rsid w:val="69F80E16"/>
    <w:rsid w:val="6A52CFE8"/>
    <w:rsid w:val="6AF593F8"/>
    <w:rsid w:val="6CAD3806"/>
    <w:rsid w:val="6E75C682"/>
    <w:rsid w:val="6EEEC69E"/>
    <w:rsid w:val="6FDF8702"/>
    <w:rsid w:val="7074AB35"/>
    <w:rsid w:val="70F3EBD0"/>
    <w:rsid w:val="71635723"/>
    <w:rsid w:val="7165589C"/>
    <w:rsid w:val="7231937A"/>
    <w:rsid w:val="724C8927"/>
    <w:rsid w:val="7291E358"/>
    <w:rsid w:val="729F77EA"/>
    <w:rsid w:val="72CA8D98"/>
    <w:rsid w:val="740F86F5"/>
    <w:rsid w:val="74E6243E"/>
    <w:rsid w:val="757329A0"/>
    <w:rsid w:val="77E5DEBC"/>
    <w:rsid w:val="7847FC4E"/>
    <w:rsid w:val="78AFCB98"/>
    <w:rsid w:val="79797D2D"/>
    <w:rsid w:val="7992D7BC"/>
    <w:rsid w:val="79F5598F"/>
    <w:rsid w:val="7BC8AEAA"/>
    <w:rsid w:val="7C85F0F8"/>
    <w:rsid w:val="7CFA6874"/>
    <w:rsid w:val="7D29B329"/>
    <w:rsid w:val="7D9A9BB8"/>
    <w:rsid w:val="7EC7EB18"/>
    <w:rsid w:val="7FBA98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98F1A"/>
  <w15:chartTrackingRefBased/>
  <w15:docId w15:val="{CD0A6C67-CA37-4E3E-A4F6-0AB26A3B1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085D97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085D9774"/>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85D9774"/>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002/rrq.2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1135</Words>
  <Characters>6474</Characters>
  <Application>Microsoft Office Word</Application>
  <DocSecurity>0</DocSecurity>
  <Lines>53</Lines>
  <Paragraphs>15</Paragraphs>
  <ScaleCrop>false</ScaleCrop>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Feliciano</dc:creator>
  <cp:keywords/>
  <dc:description/>
  <cp:lastModifiedBy>Maria Feliciano</cp:lastModifiedBy>
  <cp:revision>2</cp:revision>
  <dcterms:created xsi:type="dcterms:W3CDTF">2026-08-24T02:57:00Z</dcterms:created>
  <dcterms:modified xsi:type="dcterms:W3CDTF">2026-08-24T02:57:00Z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7050733d-5bfa-4549-bbfc-82e0da9e1c14</vt:lpwstr>
  </property>
</Properties>
</file>